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A39" Type="http://schemas.openxmlformats.org/officeDocument/2006/relationships/officeDocument" Target="/word/document.xml" /><Relationship Id="coreR343A39" Type="http://schemas.openxmlformats.org/package/2006/relationships/metadata/core-properties" Target="/docProps/core.xml" /><Relationship Id="customR343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6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https://www.nsp.cz/jednotka-prace/vyrobce-lisovane-keramiky#zdravotni-zpusobilost).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37" w:hRule="exact" w:wrap="none" w:vAnchor="page" w:hAnchor="margin" w:x="0" w:y="8989"/>
        <w:rPr>
          <w:rStyle w:val="C3"/>
          <w:rtl w:val="0"/>
        </w:rPr>
      </w:pPr>
    </w:p>
    <w:p>
      <w:pPr>
        <w:pStyle w:val="P36"/>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1053"/>
        <w:rPr>
          <w:rStyle w:val="C3"/>
          <w:rtl w:val="0"/>
        </w:rPr>
      </w:pPr>
    </w:p>
    <w:p>
      <w:pPr>
        <w:pStyle w:val="P36"/>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5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odborné praxe v oblasti keramické výroby.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lisované keramiky, 10.9.2026 2:14:29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7CA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7C95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6D78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