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9A6F7" Type="http://schemas.openxmlformats.org/officeDocument/2006/relationships/officeDocument" Target="/word/document.xml" /><Relationship Id="coreR6BC9A6F7" Type="http://schemas.openxmlformats.org/package/2006/relationships/metadata/core-properties" Target="/docProps/core.xml" /><Relationship Id="customR6BC9A6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60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https://www.nsp.cz/jednotka-prace/vyrobce-lisovane-keramiky#zdravotni-zpusobilost).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837" w:hRule="exact" w:wrap="none" w:vAnchor="page" w:hAnchor="margin" w:x="0" w:y="8989"/>
        <w:rPr>
          <w:rStyle w:val="C3"/>
          <w:rtl w:val="0"/>
        </w:rPr>
      </w:pPr>
    </w:p>
    <w:p>
      <w:pPr>
        <w:pStyle w:val="P36"/>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1053"/>
        <w:rPr>
          <w:rStyle w:val="C3"/>
          <w:rtl w:val="0"/>
        </w:rPr>
      </w:pPr>
    </w:p>
    <w:p>
      <w:pPr>
        <w:pStyle w:val="P36"/>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518"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 lisované keramiky + střední vzdělání s maturitní zkouškou a alespoň 5 let odborné praxe v oblasti keramické výroby.</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 lisované keramiky, 30.9.2026 4:45:56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D43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C673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42D3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