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C14B5" Type="http://schemas.openxmlformats.org/officeDocument/2006/relationships/officeDocument" Target="/word/document.xml" /><Relationship Id="coreR327C14B5" Type="http://schemas.openxmlformats.org/package/2006/relationships/metadata/core-properties" Target="/docProps/core.xml" /><Relationship Id="customR327C14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točením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v kožovitém i v suchém stavu a manipulování s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ručního i strojního slučování zasyrova s následnou retuší a čištěním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při sušení keramických výrobků, ložení výrobků do pecí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20.10.2026 9:21:20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http://katalog.nsp.cz/karta_tp.aspx?id_jp=101223&amp;kod_sm1=35).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20.10.2026 9:21:20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20.10.2026 9:21:20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