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19C2D7" Type="http://schemas.openxmlformats.org/officeDocument/2006/relationships/officeDocument" Target="/word/document.xml" /><Relationship Id="coreR4719C2D7" Type="http://schemas.openxmlformats.org/package/2006/relationships/metadata/core-properties" Target="/docProps/core.xml" /><Relationship Id="customR4719C2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pálicích pecí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výrobních podkladech pro výpal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sušení a výpalu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při výpalu keramických výrobků a manipulace s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keramických výrobků po výpalu a evidence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obsluze pálicích pecí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20.10.2026 10:23:51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https://www.nsp.cz/jednotka-prace/obsluha-palicich-peci#zdravotni-zpusobilost).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výrobních podkladech pro výpal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autorizovaná osoba určí druh výrobku a jeho parametry, ke kterému se bude vztahovat zadaný úkol, podle zaměření konkrétní keramické výroby a místa konání zkoušky.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po výpalu a evidence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při ověřování kritérií hodnocení je možné, v rámci hospodárného využití času určeného na zkoušku, použít připravený výrobek nebo polotovar.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manuální zručnost uchazeče a kvalita provedení.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20.10.2026 10:23:51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20.10.2026 10:23:51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