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F30A9" Type="http://schemas.openxmlformats.org/officeDocument/2006/relationships/officeDocument" Target="/word/document.xml" /><Relationship Id="coreR9FF30A9" Type="http://schemas.openxmlformats.org/package/2006/relationships/metadata/core-properties" Target="/docProps/core.xml" /><Relationship Id="customR9FF30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pálicích pecí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výrobních podkladech pro výpal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sušení a výpalu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při výpalu keramických výrobků a manipulace s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keramických výrobků po výpalu a evidence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obsluze pálicích pecí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30.9.2026 4:44:42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https://www.nsp.cz/jednotka-prace/obsluha-palicich-peci#zdravotni-zpusobilost).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výrobních podkladech pro výpal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druh výrobku a jeho parametry, ke kterému se bude vztahovat zadaný úkol, podle zaměření konkrétní keramické výroby a místa konání zkoušky.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po výpalu a evidence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při ověřování kritérií hodnocení je možné, v rámci hospodárného využití času určeného na zkoušku, použít připravený výrobek nebo polotovar.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manuální zručnost uchazeče a kvalita provedení.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30.9.2026 4:44:42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30.9.2026 4:44:42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