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BD917" Type="http://schemas.openxmlformats.org/officeDocument/2006/relationships/officeDocument" Target="/word/document.xml" /><Relationship Id="coreR482BD917" Type="http://schemas.openxmlformats.org/package/2006/relationships/metadata/core-properties" Target="/docProps/core.xml" /><Relationship Id="customR482BD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http://katalog.nsp.cz/karta_tp.aspx?id_jp=101579&amp;kod_sm1=35).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budou vztaženy zadané úkoly a jeho parametry, podle zaměření konkrétní keramické výroby a místa konání zkoušky. Množství výrobků určí zkoušející podle obtížnosti zadané techniky a druhu výrobku. V odborné kompetenci Opracovávání výrobků a manipulování s výrobky při obrábění keramiky, kritérium c), d), e)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