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B2AD3" Type="http://schemas.openxmlformats.org/officeDocument/2006/relationships/officeDocument" Target="/word/document.xml" /><Relationship Id="coreR44EB2AD3" Type="http://schemas.openxmlformats.org/package/2006/relationships/metadata/core-properties" Target="/docProps/core.xml" /><Relationship Id="customR44EB2A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https://www.nsp.cz/jednotka-prace/obrabec-keramiky#zdravotni-zpusobilost).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 určitém úseku keramické výroby.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 a místa konání zkoušky.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Množství výrobků určí zkoušející podle obtížnosti zadané techniky a druhu výrobku.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výrobků a manipulování s výrobky při obrábění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d), e)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keramických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jedná o ověření znalostí vad keramiky způsobených nedodržením technologického postupu.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 a kvalita provedení.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STEATIT,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