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35B0C6" Type="http://schemas.openxmlformats.org/officeDocument/2006/relationships/officeDocument" Target="/word/document.xml" /><Relationship Id="coreR5435B0C6" Type="http://schemas.openxmlformats.org/package/2006/relationships/metadata/core-properties" Target="/docProps/core.xml" /><Relationship Id="customR5435B0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přípravy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Přípravář keramických hmot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při přípravě keramických hmot, glazur a engob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surovin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keramických hmot, glazur a engob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keramických surovin, hmot, glazur a engob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strojního zařízení pro výrobu keramických hmot, glazur a engob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práce při výrobě a skladování keramických surovin, hmot, glazur a engob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přípravy keramických hmot, 20.10.2026 7:42:27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https://www.nsp.cz/jednotka-prace/pripravar-keramickych-hmo#zdravotni-zpusobilost).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keramické hmoty a její parametry (např. pro výrobu cihlářských výrobků, kameniny, porcelánu, technické keramiky, žáruvzdorných materiálů, glazur a engob příp. dalších), ke které budou vztaženy zadané úkoly, podle zaměření konkrétní keramické výroby a místa konání zkoušky.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surovin při výrobě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zadá počet vzorků (v minimálním počtu 5 kusů) podle druhu keramické hmoty a podle zaměření konkrétní keramické výroby a místa konání zkoušky.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strojního zařízení pro výrobu keramických hmot, glazur a engob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c), d) autorizovaná osoba určí druh zařízení, na kterém se bude kompetence ověřovat (mlecí bubny, rozplavovače, míchače, síta, čerpadla, kalolisy, sušárny a další).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se klade důraz na dodržování hygienických a bezpečnostních zásad. Je posuzováno hospodárné využití surovin a bezpečné provádění všech úkonů. Ověřování odborných kompetencí bude probíhat v reálném provozu keramické výroby.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přípravy keramických hmot, 20.10.2026 7:42:27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STEATIT,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přípravy keramických hmot, 20.10.2026 7:42:27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