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F3061" Type="http://schemas.openxmlformats.org/officeDocument/2006/relationships/officeDocument" Target="/word/document.xml" /><Relationship Id="coreR305F3061" Type="http://schemas.openxmlformats.org/package/2006/relationships/metadata/core-properties" Target="/docProps/core.xml" /><Relationship Id="customR305F30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pro výrobu keramických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24.9.2026 14:01:23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https://www.nsp.cz/jednotka-prace/pripravar-keramickych-hmo#zdravotni-zpusobilost).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surovin při výrobě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zadá počet vzorků (v minimálním počtu 5 kusů) podle druhu keramické hmoty a podle zaměření konkrétní keramické výroby a místa konání zkoušky.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strojního zařízení pro výrobu keramických hmot, glazur a engob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c), d) autorizovaná osoba určí druh zařízení, na kterém se bude kompetence ověřovat (mlecí bubny, rozplavovače, míchače, síta, čerpadla, kalolisy, sušárny a další).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 a bezpečné provádění všech úkonů. Ověřování odborných kompetencí bude probíhat v reálném provozu keramické výroby.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24.9.2026 14:01:23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24.9.2026 14:01:23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