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C787EA" Type="http://schemas.openxmlformats.org/officeDocument/2006/relationships/officeDocument" Target="/word/document.xml" /><Relationship Id="coreR71C787EA" Type="http://schemas.openxmlformats.org/package/2006/relationships/metadata/core-properties" Target="/docProps/core.xml" /><Relationship Id="customR71C787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Pekař/pekařka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Pekař/pekařka chleba a běžného pečiva, 20.10.2026 11:58:15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http://katalog.nsp.cz/karta_p.aspx?id_jp=100229).</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chleba a běžného pečiva s využitím technologických postupů, estetických pravidel a hygienických zásad výroby bezpečných potravin.</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jednoho výrobku ze sortimentu chleba v minimálním množství 2 ks a jednoho výrobku ze sortimentu běžného pečiva v minimálním množství 15 ks.</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21"/>
        <w:framePr w:w="7654" w:h="331" w:hRule="exact" w:wrap="none" w:vAnchor="page" w:hAnchor="margin" w:x="28" w:y="15940"/>
        <w:rPr>
          <w:rStyle w:val="C16"/>
          <w:rtl w:val="0"/>
        </w:rPr>
      </w:pPr>
      <w:r>
        <w:rPr>
          <w:rStyle w:val="C16"/>
          <w:rtl w:val="0"/>
        </w:rPr>
        <w:t>Pekař/pekařka chleba a běžného pečiva, 20.10.2026 11:58:15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Pekař/pekařka chleba a běžného pečiva, 20.10.2026 11:58:15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