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77A6E9" Type="http://schemas.openxmlformats.org/officeDocument/2006/relationships/officeDocument" Target="/word/document.xml" /><Relationship Id="coreR4B77A6E9" Type="http://schemas.openxmlformats.org/package/2006/relationships/metadata/core-properties" Target="/docProps/core.xml" /><Relationship Id="customR4B77A6E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Pekař/pekařka chleba a běžného pečiva (kód: 29-001-H)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chleba a běžného pečiva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chleba a běžného pečiva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chleba a běžného pečiva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těst a kvasů pro chleba a běžné pečivo</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těst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seřizování kynárny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Pečení chleba a běžného pečiva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Uchovávání, balení a expedice chleba a běžného pečiva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strojů a zařízení pro pekařskou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polotovarů a hotových pekařských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pekařské výrobě,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Prodej chleba a běžného pečiva</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pekařských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Pekař/pekařka chleba a běžného pečiva, 20.8.2026 19:57:09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907"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"https://www.nsp.cz/jednotka-prace/mlekar"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https://www.nsp.cz/jednotka-prace/pekar#zdravotni-zpusobilost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chleba a běžného pečiva s využitím technologických postupů, estetických pravidel a hygienických zásad výroby bezpečných potravin.</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jednoho výrobku ze sortimentu chleba v minimálním množství 2 ks a jednoho výrobku ze sortimentu běžného pečiva v minimálním množství 15 ks.</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dodržování zásad bezpečnosti práce, časové zvládání jednotlivých operací. Zkoušející ověřuje hodnoticí kritéria průběžně při plnění příslušných odborných způsobilostí.</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hmotnosti a jakosti výrobku a bude provedeno senzorické hodnocení, při němž budou prokázány charakteristické vlastnosti typické pro daný výrobek.</w:t>
      </w:r>
    </w:p>
    <w:p>
      <w:pPr>
        <w:pStyle w:val="P21"/>
        <w:framePr w:w="7654" w:h="331" w:hRule="exact" w:wrap="none" w:vAnchor="page" w:hAnchor="margin" w:x="28" w:y="15940"/>
        <w:rPr>
          <w:rStyle w:val="C16"/>
          <w:rtl w:val="0"/>
        </w:rPr>
      </w:pPr>
      <w:r>
        <w:rPr>
          <w:rStyle w:val="C16"/>
          <w:rtl w:val="0"/>
        </w:rPr>
        <w:t>Pekař/pekařka chleba a běžného pečiva, 20.8.2026 19:57:09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Pekař/pekařka chleba a běžného pečiva, 20.8.2026 19:57:09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