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EE419C" Type="http://schemas.openxmlformats.org/officeDocument/2006/relationships/officeDocument" Target="/word/document.xml" /><Relationship Id="coreR4AEE419C" Type="http://schemas.openxmlformats.org/package/2006/relationships/metadata/core-properties" Target="/docProps/core.xml" /><Relationship Id="customR4AEE41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Glazovač/glazovačka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Glazovač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glazování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glazovacích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Glazovač/glazovačka keramiky, 11.7.2026 2:18:27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57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https://www.nsp.cz/jednotka-prace/glazovac-keramiky#zdravotni-zpusobilost).</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Autorizovaná osoba určí druh výrobku, ke kterému se budou vztahovat zadané úkoly a jeho parametry, podle zaměření konkrétní keramické výroby a místa konání zkoušky. Množství výrobků určí zkoušející podle obtížnosti zadané techniky a druhu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glazovacích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probíhá v reálném provozu nad dokumentací, na pracovních místech u konkrétních strojů, v rámci modelové situace, kterou připraví autorizovaná osoba.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odborných kompetencí praktického charakteru je žádoucí, aby uchazeč zadané úkoly vykonával tak, aby bylo zamezeno vzniku finančních ztrát např. poškozením stroje nebo poškozením výrobní linky.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v místě konání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znalosti vad keramiky způsobených nedodržením technologického postupu.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se bude posuzovat kvalita a soulad s technickou a výrobní dokumentací, případně nedodržení jednotlivých parametrů pro zadaný výrobek.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Je posuzováno hospodárné využití surovin a bezpečné provádění všech úkonů a kvalita provedení. Předmětem hodnocení je také estetická stránka výrobku, kreativita, manuální zručnost zkoušeného.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21"/>
        <w:framePr w:w="7654" w:h="331" w:hRule="exact" w:wrap="none" w:vAnchor="page" w:hAnchor="margin" w:x="28" w:y="15940"/>
        <w:rPr>
          <w:rStyle w:val="C16"/>
          <w:rtl w:val="0"/>
        </w:rPr>
      </w:pPr>
      <w:r>
        <w:rPr>
          <w:rStyle w:val="C16"/>
          <w:rtl w:val="0"/>
        </w:rPr>
        <w:t>Glazovač/glazovačka keramiky, 11.7.2026 2:18:27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Glazovač/glazovačka keramiky, 11.7.2026 2:18:27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