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06EF6" Type="http://schemas.openxmlformats.org/officeDocument/2006/relationships/officeDocument" Target="/word/document.xml" /><Relationship Id="coreRAB06EF6" Type="http://schemas.openxmlformats.org/package/2006/relationships/metadata/core-properties" Target="/docProps/core.xml" /><Relationship Id="customRAB06E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dílců (kód: 32-005-H)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18.10.2026 18:29:48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výrobě kožešnických výrobků. Autorizovaná osoba určí druh výrobku (a jeho parametry), ke kterému se budou vztahovat zadané úkoly, a to podle zaměření konkrétní kožešnické výroby a podle aktuálního výrobního programu firmy.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se přihlíží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je třeba sledovat používání odborné terminologie a využívání odborných znalostí. Ověřování kompetencí, kde je způsob ověření praktické předvedení, bude probíhat v reálném procesu kožešnické výroby. Je-li způsobem ověření kritéria hodnocení slovní vysvětlení nebo vyjádření nebo komentář, je tím míněno stručné slovní doplnění předvedené činnosti v souladu s technologickým postupem.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kožešnické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d) vzorek kožešinového výrobku v počtu jeden kus, typ vzorku bude záviset na zaměření výroby kožešinových výrobků podle aktuálního výrobního programu firmy.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vzorky kožešin v počtu (minimálně 2 - maximálně 5 vzorků).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18.10.2026 18:29:48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18.10.2026 18:29:48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