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5FE45" Type="http://schemas.openxmlformats.org/officeDocument/2006/relationships/officeDocument" Target="/word/document.xml" /><Relationship Id="coreR3BC5FE45" Type="http://schemas.openxmlformats.org/package/2006/relationships/metadata/core-properties" Target="/docProps/core.xml" /><Relationship Id="customR3BC5FE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Brašnář/brašnářka (kód: 32-001-H)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brašnářských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brašnářských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https://nsp.cz/jednotka-prace/brasnar#zdravotni-zpusobilost).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kompetencí, kde je způsob ověření praktické předvedení, bude probíhat v reálném procesu brašnářské výroby. Při ověřování kritérií hodnocení způsobem praktického předvedení se přihlíží především k bezpečnému provádění všech úkonů, dále ke komplexnímu přístupu k řešení daného úkolu, k celkové kvalitě provedení pracovních operací a výrobku, k používaným pracovním postupům a k samostatnosti při řešení jednotlivých kritérií hodnocení.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brašnářského výrobku a jeho parametry, ke kterému se budou vztahovat zadané úkoly, a to podle zaměření konkrétní brašnářské výroby a aktuálního výrobního programu firmy.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dílců brašnářských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hodnocení b) a c), autorizovaná osoba zadá pro ověření kritéria hodnocení počet vzorků v minimálním počtu 2 - maximálně 5 vzorků od každého materiálu, a to podle zaměření konkrétní brašnářské výroby a aktuálního výrobního programu firmy.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hodnocení c) stanoví autorizovaná osoba, u kterého stroje bude uchazeč popisovat kritická místa z hlediska BOZP (sloupový šicí stroj jednojehlový, nebo šicí stroj rovný, nebo ramenový šicí stroj, nebo kosící stroj).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šablon pro výrobu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c), zadá autorizovaná osoba konkrétní brašnářský výrobek, pro který bude šablona tvořena.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 šití usňových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druh stroje (šicí stroj rovný, nebo ramenový šicí stroj, nebo sloupový šicí stroj), na kterém bude uchazeč předvádět šití konkrétního brašnářského výrobku.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Academic School, Střední škola, s .r. o., Zlín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Brašnář/brašnářka, 7.11.2026 17:32:37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