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8ED51" Type="http://schemas.openxmlformats.org/officeDocument/2006/relationships/officeDocument" Target="/word/document.xml" /><Relationship Id="coreRE28ED51" Type="http://schemas.openxmlformats.org/package/2006/relationships/metadata/core-properties" Target="/docProps/core.xml" /><Relationship Id="customRE28ED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Strojové šití usňových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4:15:37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(brašnářská výroba) a místa konání zkoušky. Autorizovaná osoba určí u kompetence Výroba dílců brašnářských výrobků, kritérium a), zda uchazeč vykrojí dílce podle krájecí šablony nebo podle zakreslení u konkrétního výrobku; u kritéria d), zda uchazeč provede vyseknutí nebo ruční vykrojení dílců.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kompetence Strojové šití usňových výrobků, druh stroje (na rovném nebo ramenovém nebo sloupovém šicím stroji), na kterém bude uchazeč předvádět šití konkrétního výrobku.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4:15:37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 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4:15:37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