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4C15D" Type="http://schemas.openxmlformats.org/officeDocument/2006/relationships/officeDocument" Target="/word/document.xml" /><Relationship Id="coreR6AC4C15D" Type="http://schemas.openxmlformats.org/package/2006/relationships/metadata/core-properties" Target="/docProps/core.xml" /><Relationship Id="customR6AC4C1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sedlářských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Apretování a impregnování částí sedlářských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https://nsp.cz/jednotka-prace/sedlar#zdravotni-zpusobilost).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sedlářské výroby. Při ověřování splnění kritérií hodnocení založených na praktickém předvedení se přihlíží především k bezpečnému provádění všech úkonů, ke kvalitě provedení pracovních operací a výrobků, k používaným pracovním postupům, k samostatnosti při řešení jednotlivých úkolů.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výrobku a jeho parametry, ke kterému se budou vztahovat zadané úkoly,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a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sedlářských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autorizovaná osoba zadá pro ověření kritéria hodnocení počet vzorků v minimálním počtu 2 - maximálně 5 vzorků od každého materiálu,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 druh sedlářského stroje, na kterém se bude zkouška vykonávat; u kritéria hodnocení c) stanoví autorizovaná osoba, u kterého stroje bude uchazeč popisovat kritická místa z hlediska BOZP (sloupový šicí stroj jednojehlový, nebo kosicí stroj, nebo štípací stroj).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