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73DFD" Type="http://schemas.openxmlformats.org/officeDocument/2006/relationships/officeDocument" Target="/word/document.xml" /><Relationship Id="coreR33373DFD" Type="http://schemas.openxmlformats.org/package/2006/relationships/metadata/core-properties" Target="/docProps/core.xml" /><Relationship Id="customR33373D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sedlářských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sedlářských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Apretování a impregnování částí sedlářských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https://nsp.cz/jednotka-prace/sedlar#zdravotni-zpusobilost).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sedlářské výroby. Při ověřování splnění kritérií hodnocení založených na praktickém předvedení se přihlíží především k bezpečnému provádění všech úkonů, ke kvalitě provedení pracovních operací a výrobků, k používaným pracovním postupům, k samostatnosti při řešení jednotlivých úkolů.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výrobku a jeho parametry, ke kterému se budou vztahovat zadané úkoly, a to podle zaměření konkrétní sedlářské výroby a aktuálního výrobního programu firmy.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a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sedlářských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autorizovaná osoba zadá pro ověření kritéria hodnocení počet vzorků v minimálním počtu 2 - maximálně 5 vzorků od každého materiálu, a to podle zaměření konkrétní sedlářské výroby a aktuálního výrobního programu firmy.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 druh sedlářského stroje, na kterém se bude zkouška vykonávat; u kritéria hodnocení c) stanoví autorizovaná osoba, u kterého stroje bude uchazeč popisovat kritická místa z hlediska BOZP (sloupový šicí stroj jednojehlový, nebo kosicí stroj, nebo štípací stroj).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