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007A4A" Type="http://schemas.openxmlformats.org/officeDocument/2006/relationships/officeDocument" Target="/word/document.xml" /><Relationship Id="coreR79007A4A" Type="http://schemas.openxmlformats.org/package/2006/relationships/metadata/core-properties" Target="/docProps/core.xml" /><Relationship Id="customR79007A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šablon pro výrobu sedlářských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dílců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Úpravy a zdobení dílců a hotových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Apretování a impregnování částí sedlářských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a strojové šití usňových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30.9.2026 5:49:07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http://katalog.nsp.cz/karta_p.aspx?id_jp=39&amp;kod_sm1=30).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Autorizovaná osoba určí druh výrobku a jeho parametry, ke kterému se budou vztahovat zadané úkoly a to podle zaměření konkrétní kožedělné výroby a místa konání zkoušky. U odborné kompetence Posuzování kvality usní, základních a pomocných materiálů, kritérium a), autorizovaná osoba zadá pro ověření kritéria počet vzorků (v minimálním počtu 2 - maximálně 5 vzorků od každého materiálu), a to podle zaměření konkrétní kožedělné výroby (sedlářská výroba) a místa konání zkoušky. 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přihlíží především k bezpečnému provádění všech úkonů, ke kvalitě provedení, k používaným pracovním postupům, k dodržování časového limitu a k samostatnosti při řešení jednotlivých kritérií. Při ústním ověřování kritérií je třeba sledovat používání odborné terminologie a využívání odborných znalostí. Ověřování kompetencí bude probíhat v reálném prostředí sedlářské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30.9.2026 5:49:07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Sedlář, 30.9.2026 5:49:07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