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6AAA5" Type="http://schemas.openxmlformats.org/officeDocument/2006/relationships/officeDocument" Target="/word/document.xml" /><Relationship Id="coreR696AAA5" Type="http://schemas.openxmlformats.org/package/2006/relationships/metadata/core-properties" Target="/docProps/core.xml" /><Relationship Id="customR696AA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Rukavičkář (kód: 32-003-H)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kožedělného zboží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kožených rukavic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usní, základních a pomocných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šablon pro výrobu rukavic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dílců rukavic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Úpravy a zdobení dílců a hotových rukavic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Sesazování, spojování a šití dílců a součástí rukavic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27.08.2010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Rukavičkář, 18.10.2026 18:12:12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http://katalog.nsp.cz/karta_p.aspx?id_jp=39&amp;kod_sm1=30).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v určitém úseku kožedělné výroby. Kritéria hodnocení jsou komplexnějšího charakteru, zkoušející se může zaměřit na určitý stěžejní úkon, který je nosný pro ověřovanou kompetenci.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Je-li způsobem ověření kritéria slovní vysvětlení nebo vyjádření, je tím míněno stručné slovní doplnění předvedené činnosti v souladu s technologickým postupem.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Rukavičkář, 18.10.2026 18:12:12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kožedělného průmyslu, v němž byly zastoupeny: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Baťa, a. s.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Krol, Olga Králíková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Snaha v. d. Jihlava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Rukavičkář, 18.10.2026 18:12:12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