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72833B" Type="http://schemas.openxmlformats.org/officeDocument/2006/relationships/officeDocument" Target="/word/document.xml" /><Relationship Id="coreR2372833B" Type="http://schemas.openxmlformats.org/package/2006/relationships/metadata/core-properties" Target="/docProps/core.xml" /><Relationship Id="customR237283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Svrškařka (kód: 32-010-H)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Svrškařka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materiálů, strojů, zařízení a nástrojů pro výrobu svršků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obuvnických polotovarů, materiálů a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Technologie výroby svršků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obuvnických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obuvnických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Kosení a další úpravy okrajů dílců a svršků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Našívání, prošívání a sešívání svrškových dílců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Kroužkování a nýtování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Svrškařka, 20.10.2026 9:22:18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http://katalog.nsp.cz/karta_p.aspx?id_jp=40&amp;kod_sm1=30).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v určitém úseku obuvnické výroby. Autorizovaná osoba určí druh výrobku a jeho parametry, ke kterému se budou vztahovat zadané úkoly, a to podle zaměření konkrétní kožedělné výroby a místa konání zkoušky.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je třeba přihlížet především k bezpečnému provádění všech úkonů, k celkové kvalitě provedení, k používaným pracovím postupům, k dodržování časového limitu a k samostatnosti při řešení jednotlivých kritérií.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kritérií je třeba sledovat používání odborné terminologie a využívání odborných znalostí. Ověřování kompetencí bude probíhat v obuvnické šicí dílně.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Svrškařka, 20.10.2026 9:22:18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Svrškařka, 20.10.2026 9:22:18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