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FCADD" Type="http://schemas.openxmlformats.org/officeDocument/2006/relationships/officeDocument" Target="/word/document.xml" /><Relationship Id="coreR494FCADD" Type="http://schemas.openxmlformats.org/package/2006/relationships/metadata/core-properties" Target="/docProps/core.xml" /><Relationship Id="customR494FC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a zařízení ve vysekávací dílně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vysekávacích strojů pro vysekávání textilních a syntetických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Dokončovací pracovní operace ve vysekávací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http://katalog.nsp.cz/karta_tp.aspx?id_jp=2460&amp;kod_sm1=30).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nebo obuvnické výroby.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zkoušející se může zaměřit na určitý stěžejní úkon, který je nosný pro ověřovanou kompetenci buď v kožedělné výrobě nebo obuvnické výrobě.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