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6A77E" Type="http://schemas.openxmlformats.org/officeDocument/2006/relationships/officeDocument" Target="/word/document.xml" /><Relationship Id="coreR17B6A77E" Type="http://schemas.openxmlformats.org/package/2006/relationships/metadata/core-properties" Target="/docProps/core.xml" /><Relationship Id="customR17B6A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gumárenské výroby obuvi.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obuvi (pryžová, gumotextilní) a obuvnického polotovaru (podešve, podpatky), ke kterému se budou vztahovat zadané úkoly podle zaměření konkrétní gumárenské výroby a místa konání zkoušky.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technologické zařízení podle zaměření konkrétní gumárenské výroby, místa konání zkoušky a technických možností strojního vybavení daného provozu.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Aby se zamezilo finančním ztrátám, je žádoucí, aby uchazeč v odborných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pryžové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Lisování pryžové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Vulkanizace pryžových komponentů a obuvi ve vulkanizačním kotli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Vybrané úkony operací může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