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DC35A" Type="http://schemas.openxmlformats.org/officeDocument/2006/relationships/officeDocument" Target="/word/document.xml" /><Relationship Id="coreR492DC35A" Type="http://schemas.openxmlformats.org/package/2006/relationships/metadata/core-properties" Target="/docProps/core.xml" /><Relationship Id="customR492DC3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gumárenské výroby obuvi.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obuvi (pryžová, gumotextilní) a obuvnického polotovaru (podešve, podpatky), ke kterému se budou vztahovat zadané úkoly podle zaměření konkrétní gumárenské výroby a místa konání zkoušky.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gumárenských strojů,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 technologické zařízení podle zaměření konkrétní gumárenské výroby, místa konání zkoušky a technických možností strojního vybavení daného provozu.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Aby se zamezilo finančním ztrátám, je žádoucí, aby uchazeč v odborných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linek pro výrobu pryžové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obuvnických a gumárenských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Lisování pryžové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Vulkanizace pryžových komponentů a obuvi ve vulkanizačním kotli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 ověřování kritérií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 Vybrané úkony operací může vykonávat paralelně nebo ve spolupráci s řádnou obsluhou strojů a zařízení. Zkouška bude probíhat za běžného provozu při výrobě pryžové obuvi, při kterém s ohledem na charakter výroby jde o velké finanční hodnoty zpracovávaných materiálů, strojů, linek a kvalitu vyrobeného produktu.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