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D07C33" Type="http://schemas.openxmlformats.org/officeDocument/2006/relationships/officeDocument" Target="/word/document.xml" /><Relationship Id="coreR39D07C33" Type="http://schemas.openxmlformats.org/package/2006/relationships/metadata/core-properties" Target="/docProps/core.xml" /><Relationship Id="customR39D07C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v potravinářských provozech (kód: 69-009-E)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 potravinářských provozech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managementu hygieny v potravinářských provozech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druhu úklidu a čištění dle hygienických plánů v systému kritických bodů v potravinářských provozech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dezinfekce v potravinářských provozech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Identifikace základních materiálů podlah, nábytku, zařízení a volba vhodných technologických postupů dle harmonogramů prací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úklidu a údržby „Clean rooms = čistých prostor“ v potravinářských provozech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úklidu sociálních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mopování tvrdých podlahových ploch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strojního mytí vysokotlakým čističem a parním čističem</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údržby nábytku, zařízení a ploch do 1,5 m a nad 1,5 m v potravinářských provozech</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údržby skleněných ploch</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mytí transportních vozíků, nakládacích a vykládacích zařízení v potravinářských provozech</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2</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úklidu a čištění chodeb, schodišť, podest a teras</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2</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úklidu a údržby výtahů</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2</w:t>
      </w:r>
    </w:p>
    <w:p>
      <w:pPr>
        <w:pStyle w:val="P12"/>
        <w:framePr w:w="9826" w:h="376" w:hRule="exact" w:wrap="none" w:vAnchor="page" w:hAnchor="margin" w:x="45" w:y="12101"/>
        <w:rPr>
          <w:rStyle w:val="C3"/>
          <w:rtl w:val="0"/>
        </w:rPr>
      </w:pPr>
    </w:p>
    <w:p>
      <w:pPr>
        <w:pStyle w:val="P13"/>
        <w:framePr w:w="9774" w:h="249" w:hRule="exact" w:wrap="none" w:vAnchor="page" w:hAnchor="margin" w:x="71" w:y="12157"/>
        <w:rPr>
          <w:rStyle w:val="C11"/>
          <w:rtl w:val="0"/>
        </w:rPr>
      </w:pPr>
      <w:r>
        <w:rPr>
          <w:rStyle w:val="C11"/>
          <w:rtl w:val="0"/>
        </w:rPr>
        <w:t>Provádění čištění a údržby elektrozařízení</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2</w:t>
      </w:r>
    </w:p>
    <w:p>
      <w:pPr>
        <w:pStyle w:val="P16"/>
        <w:framePr w:w="9826" w:h="376" w:hRule="exact" w:wrap="none" w:vAnchor="page" w:hAnchor="margin" w:x="45" w:y="12477"/>
        <w:rPr>
          <w:rStyle w:val="C3"/>
          <w:rtl w:val="0"/>
        </w:rPr>
      </w:pPr>
    </w:p>
    <w:p>
      <w:pPr>
        <w:pStyle w:val="P17"/>
        <w:framePr w:w="9774" w:h="249" w:hRule="exact" w:wrap="none" w:vAnchor="page" w:hAnchor="margin" w:x="71" w:y="12533"/>
        <w:rPr>
          <w:rStyle w:val="C13"/>
          <w:rtl w:val="0"/>
        </w:rPr>
      </w:pPr>
      <w:r>
        <w:rPr>
          <w:rStyle w:val="C13"/>
          <w:rtl w:val="0"/>
        </w:rPr>
        <w:t>Třídění a nakládání s druhotnými odpady</w:t>
      </w:r>
    </w:p>
    <w:p>
      <w:pPr>
        <w:pStyle w:val="P18"/>
        <w:framePr w:w="805" w:h="376" w:hRule="exact" w:wrap="none" w:vAnchor="page" w:hAnchor="margin" w:x="9916" w:y="12477"/>
        <w:rPr>
          <w:rStyle w:val="C3"/>
          <w:rtl w:val="0"/>
        </w:rPr>
      </w:pPr>
    </w:p>
    <w:p>
      <w:pPr>
        <w:pStyle w:val="P19"/>
        <w:framePr w:w="723" w:h="249" w:hRule="exact" w:wrap="none" w:vAnchor="page" w:hAnchor="margin" w:x="9972" w:y="12533"/>
        <w:rPr>
          <w:rStyle w:val="C14"/>
          <w:rtl w:val="0"/>
        </w:rPr>
      </w:pPr>
      <w:r>
        <w:rPr>
          <w:rStyle w:val="C14"/>
          <w:rtl w:val="0"/>
        </w:rPr>
        <w:t>2</w:t>
      </w:r>
    </w:p>
    <w:p>
      <w:pPr>
        <w:pStyle w:val="P12"/>
        <w:framePr w:w="9826" w:h="376" w:hRule="exact" w:wrap="none" w:vAnchor="page" w:hAnchor="margin" w:x="45" w:y="12853"/>
        <w:rPr>
          <w:rStyle w:val="C3"/>
          <w:rtl w:val="0"/>
        </w:rPr>
      </w:pPr>
    </w:p>
    <w:p>
      <w:pPr>
        <w:pStyle w:val="P13"/>
        <w:framePr w:w="9774" w:h="249" w:hRule="exact" w:wrap="none" w:vAnchor="page" w:hAnchor="margin" w:x="71" w:y="12909"/>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12853"/>
        <w:rPr>
          <w:rStyle w:val="C3"/>
          <w:rtl w:val="0"/>
        </w:rPr>
      </w:pPr>
    </w:p>
    <w:p>
      <w:pPr>
        <w:pStyle w:val="P15"/>
        <w:framePr w:w="723" w:h="249" w:hRule="exact" w:wrap="none" w:vAnchor="page" w:hAnchor="margin" w:x="9972" w:y="12909"/>
        <w:rPr>
          <w:rStyle w:val="C12"/>
          <w:rtl w:val="0"/>
        </w:rPr>
      </w:pPr>
      <w:r>
        <w:rPr>
          <w:rStyle w:val="C12"/>
          <w:rtl w:val="0"/>
        </w:rPr>
        <w:t>2</w:t>
      </w:r>
    </w:p>
    <w:p>
      <w:pPr>
        <w:pStyle w:val="P16"/>
        <w:framePr w:w="9826" w:h="376" w:hRule="exact" w:wrap="none" w:vAnchor="page" w:hAnchor="margin" w:x="45" w:y="13229"/>
        <w:rPr>
          <w:rStyle w:val="C3"/>
          <w:rtl w:val="0"/>
        </w:rPr>
      </w:pPr>
    </w:p>
    <w:p>
      <w:pPr>
        <w:pStyle w:val="P17"/>
        <w:framePr w:w="9774" w:h="249" w:hRule="exact" w:wrap="none" w:vAnchor="page" w:hAnchor="margin" w:x="71" w:y="13285"/>
        <w:rPr>
          <w:rStyle w:val="C13"/>
          <w:rtl w:val="0"/>
        </w:rPr>
      </w:pPr>
      <w:r>
        <w:rPr>
          <w:rStyle w:val="C13"/>
          <w:rtl w:val="0"/>
        </w:rPr>
        <w:t>Organizace práce na pracovišti</w:t>
      </w:r>
    </w:p>
    <w:p>
      <w:pPr>
        <w:pStyle w:val="P18"/>
        <w:framePr w:w="805" w:h="376" w:hRule="exact" w:wrap="none" w:vAnchor="page" w:hAnchor="margin" w:x="9916" w:y="13229"/>
        <w:rPr>
          <w:rStyle w:val="C3"/>
          <w:rtl w:val="0"/>
        </w:rPr>
      </w:pPr>
    </w:p>
    <w:p>
      <w:pPr>
        <w:pStyle w:val="P19"/>
        <w:framePr w:w="723" w:h="249" w:hRule="exact" w:wrap="none" w:vAnchor="page" w:hAnchor="margin" w:x="9972" w:y="13285"/>
        <w:rPr>
          <w:rStyle w:val="C14"/>
          <w:rtl w:val="0"/>
        </w:rPr>
      </w:pPr>
      <w:r>
        <w:rPr>
          <w:rStyle w:val="C14"/>
          <w:rtl w:val="0"/>
        </w:rPr>
        <w:t>3</w:t>
      </w:r>
    </w:p>
    <w:p>
      <w:pPr>
        <w:pStyle w:val="P7"/>
        <w:framePr w:w="8788" w:h="340" w:hRule="exact" w:wrap="none" w:vAnchor="page" w:hAnchor="margin" w:x="28" w:y="13832"/>
        <w:rPr>
          <w:rStyle w:val="C8"/>
          <w:rtl w:val="0"/>
        </w:rPr>
      </w:pPr>
      <w:r>
        <w:rPr>
          <w:rStyle w:val="C8"/>
          <w:rtl w:val="0"/>
        </w:rPr>
        <w:t>Platnost standardu</w:t>
      </w:r>
    </w:p>
    <w:p>
      <w:pPr>
        <w:pStyle w:val="P20"/>
        <w:framePr w:w="4283" w:h="248" w:hRule="exact" w:wrap="none" w:vAnchor="page" w:hAnchor="margin" w:x="28" w:y="14172"/>
        <w:rPr>
          <w:rStyle w:val="C15"/>
          <w:rtl w:val="0"/>
        </w:rPr>
      </w:pPr>
      <w:r>
        <w:rPr>
          <w:rStyle w:val="C15"/>
          <w:rtl w:val="0"/>
        </w:rPr>
        <w:t>Standard je platný od: 07.05.2014 do: 18.10.2021</w:t>
      </w:r>
    </w:p>
    <w:p>
      <w:pPr>
        <w:pStyle w:val="P21"/>
        <w:framePr w:w="7654" w:h="331" w:hRule="exact" w:wrap="none" w:vAnchor="page" w:hAnchor="margin" w:x="28" w:y="15940"/>
        <w:rPr>
          <w:rStyle w:val="C16"/>
          <w:rtl w:val="0"/>
        </w:rPr>
      </w:pPr>
      <w:r>
        <w:rPr>
          <w:rStyle w:val="C16"/>
          <w:rtl w:val="0"/>
        </w:rPr>
        <w:t>Úklidový pracovník v potravinářských provozech, 7.5.2026 19:08:14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6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a informuje uchazeče o vhodném pracovním oděvu a obuvi.</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http://katalog.nsp.cz/karta_p.aspx?id_jp=101063&amp;kod_sm1=20)</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1"/>
        <w:framePr w:w="10766" w:h="458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1"/>
        <w:framePr w:w="10766" w:h="458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1"/>
        <w:framePr w:w="10766" w:h="458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21"/>
        <w:framePr w:w="7654" w:h="331" w:hRule="exact" w:wrap="none" w:vAnchor="page" w:hAnchor="margin" w:x="28" w:y="15940"/>
        <w:rPr>
          <w:rStyle w:val="C16"/>
          <w:rtl w:val="0"/>
        </w:rPr>
      </w:pPr>
      <w:r>
        <w:rPr>
          <w:rStyle w:val="C16"/>
          <w:rtl w:val="0"/>
        </w:rPr>
        <w:t>Úklidový pracovník v potravinářských provozech, 7.5.2026 19:08:14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ostatní služby ustavená a licencovaná pro tuto činnost HK ČR a SP ČR.</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v potravinářských provozech, 7.5.2026 19:08:14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FAE72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