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58F373" Type="http://schemas.openxmlformats.org/officeDocument/2006/relationships/officeDocument" Target="/word/document.xml" /><Relationship Id="coreR5958F373" Type="http://schemas.openxmlformats.org/package/2006/relationships/metadata/core-properties" Target="/docProps/core.xml" /><Relationship Id="customR5958F3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příprava a kompletace, údržba a čištění pomůcek a strojů včetně pomůcek BOZP ve zdravotnickém a nemocničním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Identifikace základních materiálů podlah, nábytku, zařízení a volba vhodných technologických postupů dle harmonogramů prací ve zdravotnickém a nemocničním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dezinfekce ve zdravotnickém a nemocničním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úklidu sociálních zařízení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mopování tvrdých podlahových ploch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nábytku, zařízení a ploch do 1,5 m a nad 1,5 m ve zdravotnickém a nemocničním zařízení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čištění a údržby kuchyňských a stravovacích prostor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úklidu a čištění chodeb, schodišť, podest a teras</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údržby výtahů ve zdravotnickém a nemocničním zařízení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čištění a údržby elektrozařízení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Organizace práce na pracovišti</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ve zdravotnických a nemocničních zařízeních, 10.9.2026 0:10:40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5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http://katalog.nsp.cz/karta_tp.aspx?id_jp=101068&amp;kod_sm1=20).</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21"/>
        <w:framePr w:w="7654" w:h="331" w:hRule="exact" w:wrap="none" w:vAnchor="page" w:hAnchor="margin" w:x="28" w:y="15940"/>
        <w:rPr>
          <w:rStyle w:val="C16"/>
          <w:rtl w:val="0"/>
        </w:rPr>
      </w:pPr>
      <w:r>
        <w:rPr>
          <w:rStyle w:val="C16"/>
          <w:rtl w:val="0"/>
        </w:rPr>
        <w:t>Úklidový pracovník ve zdravotnických a nemocničních zařízeních, 10.9.2026 0:10:40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byl připraven SR pro ostatní služby, v níž byly zastoupeny: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kvalifikačního standardu se dále podílely tyto subjekty:</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82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ve zdravotnických a nemocničních zařízeních, 10.9.2026 0:10:40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