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D3CC0" Type="http://schemas.openxmlformats.org/officeDocument/2006/relationships/officeDocument" Target="/word/document.xml" /><Relationship Id="coreR5D2D3CC0" Type="http://schemas.openxmlformats.org/package/2006/relationships/metadata/core-properties" Target="/docProps/core.xml" /><Relationship Id="customR5D2D3C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11.9.2026 3:30:51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9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21"/>
        <w:framePr w:w="7654" w:h="331" w:hRule="exact" w:wrap="none" w:vAnchor="page" w:hAnchor="margin" w:x="28" w:y="15940"/>
        <w:rPr>
          <w:rStyle w:val="C16"/>
          <w:rtl w:val="0"/>
        </w:rPr>
      </w:pPr>
      <w:r>
        <w:rPr>
          <w:rStyle w:val="C16"/>
          <w:rtl w:val="0"/>
        </w:rPr>
        <w:t>Psovod bezpečnostní služby, 11.9.2026 3:30:51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bezpečnost a ochranu osob a majetku a bezpečnost práce, v níž byly zastoupeny: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Policejní prezidium ČR, odbor kynologie a hipologie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11.9.2026 3:30:51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