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F2B6B" Type="http://schemas.openxmlformats.org/officeDocument/2006/relationships/officeDocument" Target="/word/document.xml" /><Relationship Id="coreR750F2B6B" Type="http://schemas.openxmlformats.org/package/2006/relationships/metadata/core-properties" Target="/docProps/core.xml" /><Relationship Id="customR750F2B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 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Charakterizovat strukturu a organizaci chovu koní v ČR (Ministerstvo zemědělství, Česká plemenářská inspekce, Českomoravská společnost chovatelů Hradištko pod Medníkem, Ústřední eveidence koní, uznaná chovatelská sdružení)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Klasifikace plemen koní</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Charakterizovat fylogenetický vývoj, morfologické změny v reakci na různé vlivy a domestikaci koní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Písemné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evidence koní v ČR</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Vyplnit povinné záznamy dle platné legislativy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Charakterizovat ústřední evidenci koní ČR</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Písemné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c) Charakterizovat základní evidenci pro ústřední evidenci koní ČR a uznané chovatelské sdružení</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e) Popsat zákonné podmínky, které musí splňovat každý chovatel</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předvadiště a předvedení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požadovanou úpravu a výstroj koně při hodnocení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vhodnou výstroj předvádějícího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ukázat nejčastější chyby při předvádění koní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Základy plemenitby a selekce koní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Popsat vliv prostředí na organismus</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Charakterizovat dědičnost a dědivost</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Písemné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Písemné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Popište selekci u koní, její druhy a význam</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Měření a vážení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Vyjmenovat a předvést způsob použití měřicích pomůcek a fixace koní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Předvést praktické měření koní při dodržení zásad měření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Vysvětlit, kdy a proč se koně váží a měří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koně a základní péče o jeho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slovní a grafický popis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základy etologie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základní péči o zdraví a výživu koně a posoudit jeho stav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a ukázat krajiny těla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ověření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Praktické předvedení a ústní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i) Popsat vztah exteriéru k výkonnosti koní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3"/>
        <w:framePr w:w="10710" w:h="340" w:hRule="exact" w:wrap="none" w:vAnchor="page" w:hAnchor="margin" w:x="28" w:y="8276"/>
        <w:rPr>
          <w:rStyle w:val="C18"/>
          <w:rtl w:val="0"/>
        </w:rPr>
      </w:pPr>
      <w:r>
        <w:rPr>
          <w:rStyle w:val="C18"/>
          <w:rtl w:val="0"/>
        </w:rPr>
        <w:t>Hodnocení výkonnosti koní</w:t>
      </w:r>
    </w:p>
    <w:p>
      <w:pPr>
        <w:pStyle w:val="P24"/>
        <w:framePr w:w="6713" w:h="376" w:hRule="exact" w:wrap="none" w:vAnchor="page" w:hAnchor="margin" w:x="45" w:y="8715"/>
        <w:rPr>
          <w:rStyle w:val="C3"/>
          <w:rtl w:val="0"/>
        </w:rPr>
      </w:pPr>
    </w:p>
    <w:p>
      <w:pPr>
        <w:pStyle w:val="P25"/>
        <w:framePr w:w="6661" w:h="249" w:hRule="exact" w:wrap="none" w:vAnchor="page" w:hAnchor="margin" w:x="71" w:y="8786"/>
        <w:rPr>
          <w:rStyle w:val="C19"/>
          <w:rtl w:val="0"/>
        </w:rPr>
      </w:pPr>
      <w:r>
        <w:rPr>
          <w:rStyle w:val="C19"/>
          <w:rtl w:val="0"/>
        </w:rPr>
        <w:t>Kritéria hodnocení</w:t>
      </w:r>
    </w:p>
    <w:p>
      <w:pPr>
        <w:pStyle w:val="P26"/>
        <w:framePr w:w="3918" w:h="376" w:hRule="exact" w:wrap="none" w:vAnchor="page" w:hAnchor="margin" w:x="6803" w:y="8715"/>
        <w:rPr>
          <w:rStyle w:val="C3"/>
          <w:rtl w:val="0"/>
        </w:rPr>
      </w:pPr>
    </w:p>
    <w:p>
      <w:pPr>
        <w:pStyle w:val="P27"/>
        <w:framePr w:w="3836" w:h="249" w:hRule="exact" w:wrap="none" w:vAnchor="page" w:hAnchor="margin" w:x="6859" w:y="8786"/>
        <w:rPr>
          <w:rStyle w:val="C20"/>
          <w:rtl w:val="0"/>
        </w:rPr>
      </w:pPr>
      <w:r>
        <w:rPr>
          <w:rStyle w:val="C20"/>
          <w:rtl w:val="0"/>
        </w:rPr>
        <w:t>Způsoby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Písemné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b) Předvést hodnocení hříběte při označování a třídění</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607" w:hRule="exact" w:wrap="none" w:vAnchor="page" w:hAnchor="margin" w:x="45" w:y="10074"/>
        <w:rPr>
          <w:rStyle w:val="C3"/>
          <w:rtl w:val="0"/>
        </w:rPr>
      </w:pPr>
    </w:p>
    <w:p>
      <w:pPr>
        <w:pStyle w:val="P13"/>
        <w:framePr w:w="6658" w:h="480" w:hRule="exact" w:wrap="none" w:vAnchor="page" w:hAnchor="margin" w:x="71" w:y="10130"/>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10074"/>
        <w:rPr>
          <w:rStyle w:val="C3"/>
          <w:rtl w:val="0"/>
        </w:rPr>
      </w:pPr>
    </w:p>
    <w:p>
      <w:pPr>
        <w:pStyle w:val="P29"/>
        <w:framePr w:w="3839" w:h="480" w:hRule="exact" w:wrap="none" w:vAnchor="page" w:hAnchor="margin" w:x="6856" w:y="10130"/>
        <w:rPr>
          <w:rStyle w:val="C21"/>
          <w:rtl w:val="0"/>
        </w:rPr>
      </w:pPr>
      <w:r>
        <w:rPr>
          <w:rStyle w:val="C21"/>
          <w:rtl w:val="0"/>
        </w:rPr>
        <w:t>Praktické předvedení a ústní ověření</w:t>
      </w:r>
    </w:p>
    <w:p>
      <w:pPr>
        <w:pStyle w:val="P16"/>
        <w:framePr w:w="6710" w:h="607" w:hRule="exact" w:wrap="none" w:vAnchor="page" w:hAnchor="margin" w:x="45" w:y="10681"/>
        <w:rPr>
          <w:rStyle w:val="C3"/>
          <w:rtl w:val="0"/>
        </w:rPr>
      </w:pPr>
    </w:p>
    <w:p>
      <w:pPr>
        <w:pStyle w:val="P17"/>
        <w:framePr w:w="6658" w:h="480" w:hRule="exact" w:wrap="none" w:vAnchor="page" w:hAnchor="margin" w:x="71" w:y="10737"/>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10681"/>
        <w:rPr>
          <w:rStyle w:val="C3"/>
          <w:rtl w:val="0"/>
        </w:rPr>
      </w:pPr>
    </w:p>
    <w:p>
      <w:pPr>
        <w:pStyle w:val="P31"/>
        <w:framePr w:w="3839" w:h="480" w:hRule="exact" w:wrap="none" w:vAnchor="page" w:hAnchor="margin" w:x="6856" w:y="10737"/>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502"/>
        <w:rPr>
          <w:rStyle w:val="C3"/>
          <w:rtl w:val="0"/>
        </w:rPr>
      </w:pPr>
    </w:p>
    <w:p>
      <w:pPr>
        <w:pStyle w:val="P13"/>
        <w:framePr w:w="6658" w:h="480" w:hRule="exact" w:wrap="none" w:vAnchor="page" w:hAnchor="margin" w:x="71" w:y="12558"/>
        <w:rPr>
          <w:rStyle w:val="C11"/>
          <w:rtl w:val="0"/>
        </w:rPr>
      </w:pPr>
      <w:r>
        <w:rPr>
          <w:rStyle w:val="C11"/>
          <w:rtl w:val="0"/>
        </w:rPr>
        <w:t>g) Popsat způsoby a možnosti rozvoje výkonnosti v chovu koní v závislosti na daném plemeni</w:t>
      </w:r>
    </w:p>
    <w:p>
      <w:pPr>
        <w:pStyle w:val="P28"/>
        <w:framePr w:w="3921" w:h="607" w:hRule="exact" w:wrap="none" w:vAnchor="page" w:hAnchor="margin" w:x="6800" w:y="12502"/>
        <w:rPr>
          <w:rStyle w:val="C3"/>
          <w:rtl w:val="0"/>
        </w:rPr>
      </w:pPr>
    </w:p>
    <w:p>
      <w:pPr>
        <w:pStyle w:val="P29"/>
        <w:framePr w:w="3839" w:h="480" w:hRule="exact" w:wrap="none" w:vAnchor="page" w:hAnchor="margin" w:x="6856" w:y="12558"/>
        <w:rPr>
          <w:rStyle w:val="C21"/>
          <w:rtl w:val="0"/>
        </w:rPr>
      </w:pPr>
      <w:r>
        <w:rPr>
          <w:rStyle w:val="C21"/>
          <w:rtl w:val="0"/>
        </w:rPr>
        <w:t>Písemné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koňmi přidělenými autorizovanou osobou.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absolvování minimálně středního vzdělání s výučním listem v zemědělském oboru se zaměřením na chov koní nebo předložení osvědčení o získání profesní kvalifikace „chovatel koní“.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 nebo hodnocení klisny nebo hřebce při výkonnostních zkouškách v zápřeži.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teplokrevné klisny nebo hřebce při chovatelských soutěžích (KMK) - toto hodnocení bude provedeno na videozáznamech z těchto soutěží.</w:t>
      </w:r>
    </w:p>
    <w:p>
      <w:pPr>
        <w:pStyle w:val="P33"/>
        <w:framePr w:w="10766" w:h="2072" w:hRule="exact" w:wrap="none" w:vAnchor="page" w:hAnchor="margin" w:x="0" w:y="13222"/>
        <w:rPr>
          <w:rStyle w:val="C3"/>
          <w:rtl w:val="0"/>
        </w:rPr>
      </w:pPr>
    </w:p>
    <w:p>
      <w:pPr>
        <w:pStyle w:val="P35"/>
        <w:framePr w:w="10710" w:h="340" w:hRule="exact" w:wrap="none" w:vAnchor="page" w:hAnchor="margin" w:x="28" w:y="13222"/>
        <w:rPr>
          <w:rStyle w:val="C25"/>
          <w:rtl w:val="0"/>
        </w:rPr>
      </w:pPr>
      <w:r>
        <w:rPr>
          <w:rStyle w:val="C25"/>
          <w:rtl w:val="0"/>
        </w:rPr>
        <w:t>Výsledné hodnocení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2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103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81"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Hodnotitel koní, 31.7.2026 15:51:49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1E9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E221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5197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