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0F623" Type="http://schemas.openxmlformats.org/officeDocument/2006/relationships/officeDocument" Target="/word/document.xml" /><Relationship Id="coreR12C0F623" Type="http://schemas.openxmlformats.org/package/2006/relationships/metadata/core-properties" Target="/docProps/core.xml" /><Relationship Id="customR12C0F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exotických ptáků; 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„Kompletace a údržba chovných zařízení pro exotické ptáky, zajištění optimálního prostředí, vedení provozního deníku"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„Přirozený a umělý odchov exotických ptáků, obsluha líhní 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„Charakteristika exotických ptáků, specifický přístup k chovu náročnějších druhů“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„Zabezpečení welfare v chovech exotických ptáků“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„Odchyt a odborná manipulace s exotickými ptáky, transport"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práka (dle možností v době konání zkoušky).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