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158FF8" Type="http://schemas.openxmlformats.org/officeDocument/2006/relationships/officeDocument" Target="/word/document.xml" /><Relationship Id="coreR56158FF8" Type="http://schemas.openxmlformats.org/package/2006/relationships/metadata/core-properties" Target="/docProps/core.xml" /><Relationship Id="customR56158F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06.06.2021</w:t>
      </w:r>
    </w:p>
    <w:p>
      <w:pPr>
        <w:pStyle w:val="P21"/>
        <w:framePr w:w="7654" w:h="331" w:hRule="exact" w:wrap="none" w:vAnchor="page" w:hAnchor="margin" w:x="28" w:y="15940"/>
        <w:rPr>
          <w:rStyle w:val="C16"/>
          <w:rtl w:val="0"/>
        </w:rPr>
      </w:pPr>
      <w:r>
        <w:rPr>
          <w:rStyle w:val="C16"/>
          <w:rtl w:val="0"/>
        </w:rPr>
        <w:t>Paznehtář, 28.5.2026 3:26:44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d) Popsat vliv stájového prostředí na zdravotní stav a postoj končetin skotu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49"/>
        <w:rPr>
          <w:rStyle w:val="C3"/>
          <w:rtl w:val="0"/>
        </w:rPr>
      </w:pPr>
    </w:p>
    <w:p>
      <w:pPr>
        <w:pStyle w:val="P13"/>
        <w:framePr w:w="6658" w:h="480" w:hRule="exact" w:wrap="none" w:vAnchor="page" w:hAnchor="margin" w:x="71" w:y="6205"/>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149"/>
        <w:rPr>
          <w:rStyle w:val="C3"/>
          <w:rtl w:val="0"/>
        </w:rPr>
      </w:pPr>
    </w:p>
    <w:p>
      <w:pPr>
        <w:pStyle w:val="P29"/>
        <w:framePr w:w="3839" w:h="480" w:hRule="exact" w:wrap="none" w:vAnchor="page" w:hAnchor="margin" w:x="6856" w:y="6205"/>
        <w:rPr>
          <w:rStyle w:val="C21"/>
          <w:rtl w:val="0"/>
        </w:rPr>
      </w:pPr>
      <w:r>
        <w:rPr>
          <w:rStyle w:val="C21"/>
          <w:rtl w:val="0"/>
        </w:rPr>
        <w:t>Písemné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f) Popsat vliv podlahovin na obrus paznehtů</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12"/>
        <w:framePr w:w="6710" w:h="607" w:hRule="exact" w:wrap="none" w:vAnchor="page" w:hAnchor="margin" w:x="45" w:y="7132"/>
        <w:rPr>
          <w:rStyle w:val="C3"/>
          <w:rtl w:val="0"/>
        </w:rPr>
      </w:pPr>
    </w:p>
    <w:p>
      <w:pPr>
        <w:pStyle w:val="P13"/>
        <w:framePr w:w="6658" w:h="480" w:hRule="exact" w:wrap="none" w:vAnchor="page" w:hAnchor="margin" w:x="71" w:y="7188"/>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132"/>
        <w:rPr>
          <w:rStyle w:val="C3"/>
          <w:rtl w:val="0"/>
        </w:rPr>
      </w:pPr>
    </w:p>
    <w:p>
      <w:pPr>
        <w:pStyle w:val="P29"/>
        <w:framePr w:w="3839" w:h="480" w:hRule="exact" w:wrap="none" w:vAnchor="page" w:hAnchor="margin" w:x="6856" w:y="7188"/>
        <w:rPr>
          <w:rStyle w:val="C21"/>
          <w:rtl w:val="0"/>
        </w:rPr>
      </w:pPr>
      <w:r>
        <w:rPr>
          <w:rStyle w:val="C21"/>
          <w:rtl w:val="0"/>
        </w:rPr>
        <w:t>Písemné ověření</w:t>
      </w:r>
    </w:p>
    <w:p>
      <w:pPr>
        <w:pStyle w:val="P16"/>
        <w:framePr w:w="6710" w:h="607" w:hRule="exact" w:wrap="none" w:vAnchor="page" w:hAnchor="margin" w:x="45" w:y="7739"/>
        <w:rPr>
          <w:rStyle w:val="C3"/>
          <w:rtl w:val="0"/>
        </w:rPr>
      </w:pPr>
    </w:p>
    <w:p>
      <w:pPr>
        <w:pStyle w:val="P17"/>
        <w:framePr w:w="6658" w:h="480" w:hRule="exact" w:wrap="none" w:vAnchor="page" w:hAnchor="margin" w:x="71" w:y="7795"/>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739"/>
        <w:rPr>
          <w:rStyle w:val="C3"/>
          <w:rtl w:val="0"/>
        </w:rPr>
      </w:pPr>
    </w:p>
    <w:p>
      <w:pPr>
        <w:pStyle w:val="P31"/>
        <w:framePr w:w="3839" w:h="480" w:hRule="exact" w:wrap="none" w:vAnchor="page" w:hAnchor="margin" w:x="6856" w:y="7795"/>
        <w:rPr>
          <w:rStyle w:val="C22"/>
          <w:rtl w:val="0"/>
        </w:rPr>
      </w:pPr>
      <w:r>
        <w:rPr>
          <w:rStyle w:val="C22"/>
          <w:rtl w:val="0"/>
        </w:rPr>
        <w:t>Písemné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i) Popsat vliv genetických faktorů na kvalitu paznehtů</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Písemné ověření</w:t>
      </w:r>
    </w:p>
    <w:p>
      <w:pPr>
        <w:pStyle w:val="P16"/>
        <w:framePr w:w="6710" w:h="376" w:hRule="exact" w:wrap="none" w:vAnchor="page" w:hAnchor="margin" w:x="45" w:y="8722"/>
        <w:rPr>
          <w:rStyle w:val="C3"/>
          <w:rtl w:val="0"/>
        </w:rPr>
      </w:pPr>
    </w:p>
    <w:p>
      <w:pPr>
        <w:pStyle w:val="P17"/>
        <w:framePr w:w="6658" w:h="249" w:hRule="exact" w:wrap="none" w:vAnchor="page" w:hAnchor="margin" w:x="71" w:y="8778"/>
        <w:rPr>
          <w:rStyle w:val="C13"/>
          <w:rtl w:val="0"/>
        </w:rPr>
      </w:pPr>
      <w:r>
        <w:rPr>
          <w:rStyle w:val="C13"/>
          <w:rtl w:val="0"/>
        </w:rPr>
        <w:t>j) Popsat a předvést základní péči o končetiny a paznehty skotu</w:t>
      </w:r>
    </w:p>
    <w:p>
      <w:pPr>
        <w:pStyle w:val="P30"/>
        <w:framePr w:w="3921" w:h="376" w:hRule="exact" w:wrap="none" w:vAnchor="page" w:hAnchor="margin" w:x="6800" w:y="8722"/>
        <w:rPr>
          <w:rStyle w:val="C3"/>
          <w:rtl w:val="0"/>
        </w:rPr>
      </w:pPr>
    </w:p>
    <w:p>
      <w:pPr>
        <w:pStyle w:val="P31"/>
        <w:framePr w:w="3839" w:h="249" w:hRule="exact" w:wrap="none" w:vAnchor="page" w:hAnchor="margin" w:x="6856" w:y="8778"/>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k) Popsat specifika zacházení s masným skotem při péči o paznehty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ověření</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l) Popsat specifika zacházení s plemennými býky při péči o paznehty</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Písemné ověření</w:t>
      </w:r>
    </w:p>
    <w:p>
      <w:pPr>
        <w:pStyle w:val="P32"/>
        <w:framePr w:w="10710" w:h="248" w:hRule="exact" w:wrap="none" w:vAnchor="page" w:hAnchor="margin" w:x="28" w:y="99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28.5.2026 3:26:44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a předvést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28.5.2026 3:26:44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28.5.2026 3:26:44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Charakterizovat a ošetřit laminitidu paznehtu</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o) Rozlišit laminitidu od přirozených pigmentových skvrn na chodidlové části</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p) Charakterizovat a ošetřit zlomeninu kosti paznehtní, zajistit součinnost s veterinářem</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q) Popsat a předvést chemické podkování paznehtu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 a ústní ověření</w:t>
      </w:r>
    </w:p>
    <w:p>
      <w:pPr>
        <w:pStyle w:val="P16"/>
        <w:framePr w:w="6710" w:h="607" w:hRule="exact" w:wrap="none" w:vAnchor="page" w:hAnchor="margin" w:x="45" w:y="10737"/>
        <w:rPr>
          <w:rStyle w:val="C3"/>
          <w:rtl w:val="0"/>
        </w:rPr>
      </w:pPr>
    </w:p>
    <w:p>
      <w:pPr>
        <w:pStyle w:val="P17"/>
        <w:framePr w:w="6658" w:h="480" w:hRule="exact" w:wrap="none" w:vAnchor="page" w:hAnchor="margin" w:x="71" w:y="10793"/>
        <w:rPr>
          <w:rStyle w:val="C13"/>
          <w:rtl w:val="0"/>
        </w:rPr>
      </w:pPr>
      <w:r>
        <w:rPr>
          <w:rStyle w:val="C13"/>
          <w:rtl w:val="0"/>
        </w:rPr>
        <w:t>r) Přiložit obvaz paznehtu včetně jeho špičky a plastovou botičku na ochranu léčeného paznehtu</w:t>
      </w:r>
    </w:p>
    <w:p>
      <w:pPr>
        <w:pStyle w:val="P30"/>
        <w:framePr w:w="3921" w:h="607" w:hRule="exact" w:wrap="none" w:vAnchor="page" w:hAnchor="margin" w:x="6800" w:y="10737"/>
        <w:rPr>
          <w:rStyle w:val="C3"/>
          <w:rtl w:val="0"/>
        </w:rPr>
      </w:pPr>
    </w:p>
    <w:p>
      <w:pPr>
        <w:pStyle w:val="P31"/>
        <w:framePr w:w="3839" w:h="480" w:hRule="exact" w:wrap="none" w:vAnchor="page" w:hAnchor="margin" w:x="6856" w:y="1079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Zhodnotit odlehčení a korekci vnějšího paznehtu na pánevní končetině</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t) Odlehčit nemocný prst</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Praktické předvedení a ústní ověření</w:t>
      </w:r>
    </w:p>
    <w:p>
      <w:pPr>
        <w:pStyle w:val="P12"/>
        <w:framePr w:w="6710" w:h="607" w:hRule="exact" w:wrap="none" w:vAnchor="page" w:hAnchor="margin" w:x="45" w:y="12096"/>
        <w:rPr>
          <w:rStyle w:val="C3"/>
          <w:rtl w:val="0"/>
        </w:rPr>
      </w:pPr>
    </w:p>
    <w:p>
      <w:pPr>
        <w:pStyle w:val="P13"/>
        <w:framePr w:w="6658" w:h="480" w:hRule="exact" w:wrap="none" w:vAnchor="page" w:hAnchor="margin" w:x="71" w:y="12152"/>
        <w:rPr>
          <w:rStyle w:val="C11"/>
          <w:rtl w:val="0"/>
        </w:rPr>
      </w:pPr>
      <w:r>
        <w:rPr>
          <w:rStyle w:val="C11"/>
          <w:rtl w:val="0"/>
        </w:rPr>
        <w:t>u) Klasifikovat preventivní opatření onemocnění paznehtů (dezinfekční vany, stání, rohože, postřiky)</w:t>
      </w:r>
    </w:p>
    <w:p>
      <w:pPr>
        <w:pStyle w:val="P28"/>
        <w:framePr w:w="3921" w:h="607" w:hRule="exact" w:wrap="none" w:vAnchor="page" w:hAnchor="margin" w:x="6800" w:y="12096"/>
        <w:rPr>
          <w:rStyle w:val="C3"/>
          <w:rtl w:val="0"/>
        </w:rPr>
      </w:pPr>
    </w:p>
    <w:p>
      <w:pPr>
        <w:pStyle w:val="P29"/>
        <w:framePr w:w="3839" w:h="480" w:hRule="exact" w:wrap="none" w:vAnchor="page" w:hAnchor="margin" w:x="6856" w:y="12152"/>
        <w:rPr>
          <w:rStyle w:val="C21"/>
          <w:rtl w:val="0"/>
        </w:rPr>
      </w:pPr>
      <w:r>
        <w:rPr>
          <w:rStyle w:val="C21"/>
          <w:rtl w:val="0"/>
        </w:rPr>
        <w:t>Písemné ověření</w:t>
      </w:r>
    </w:p>
    <w:p>
      <w:pPr>
        <w:pStyle w:val="P16"/>
        <w:framePr w:w="6710" w:h="376" w:hRule="exact" w:wrap="none" w:vAnchor="page" w:hAnchor="margin" w:x="45" w:y="12703"/>
        <w:rPr>
          <w:rStyle w:val="C3"/>
          <w:rtl w:val="0"/>
        </w:rPr>
      </w:pPr>
    </w:p>
    <w:p>
      <w:pPr>
        <w:pStyle w:val="P17"/>
        <w:framePr w:w="6658" w:h="249" w:hRule="exact" w:wrap="none" w:vAnchor="page" w:hAnchor="margin" w:x="71" w:y="12759"/>
        <w:rPr>
          <w:rStyle w:val="C13"/>
          <w:rtl w:val="0"/>
        </w:rPr>
      </w:pPr>
      <w:r>
        <w:rPr>
          <w:rStyle w:val="C13"/>
          <w:rtl w:val="0"/>
        </w:rPr>
        <w:t>v) Vyjmenovat používané dezinfekční prostředky</w:t>
      </w:r>
    </w:p>
    <w:p>
      <w:pPr>
        <w:pStyle w:val="P30"/>
        <w:framePr w:w="3921" w:h="376" w:hRule="exact" w:wrap="none" w:vAnchor="page" w:hAnchor="margin" w:x="6800" w:y="12703"/>
        <w:rPr>
          <w:rStyle w:val="C3"/>
          <w:rtl w:val="0"/>
        </w:rPr>
      </w:pPr>
    </w:p>
    <w:p>
      <w:pPr>
        <w:pStyle w:val="P31"/>
        <w:framePr w:w="3839" w:h="249" w:hRule="exact" w:wrap="none" w:vAnchor="page" w:hAnchor="margin" w:x="6856" w:y="12759"/>
        <w:rPr>
          <w:rStyle w:val="C22"/>
          <w:rtl w:val="0"/>
        </w:rPr>
      </w:pPr>
      <w:r>
        <w:rPr>
          <w:rStyle w:val="C22"/>
          <w:rtl w:val="0"/>
        </w:rPr>
        <w:t>Písemné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28.5.2026 3:26:44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se zákazníkem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28.5.2026 3:26:44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musí probíhat v navazujících činnostech vedoucích k ucelenému paznehtářskému úkonu, který zahrnuje požadavky na zlepšení pohybových schopností a celkové welfare skotu.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musí uchazeč:</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Zjistit požadavky chovatele zvířat na ortopedickou úpravu paznehtů skotu a zhodnotit cyklus ošetření v konkrétním stádě.</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technologické a zoohygienické podmínky ustájených zvířat.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Určit plemeno, kategorii a věk zvířat, počet kusů v sekci a navrhnout dobu ošetření paznehtů s přihlédnutím k provozním podmínkám zejména s ohledem na dobu dojení, krmení, úklid stájí a další provozní záležitosti apod.</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Vyhodnotit kvalitu podlahovin vzhledem k obrusu chodidlové části paznehtu.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Odhadnout kulhavost stáda a závažnost onemocnění končetin skotu.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Vybrat vhodné místo pro umístění fixační klece a pokusit se využít technologických možností vybavení stáje u chovatele. V případě nevhodného řešení u chovatele navrhnout jiné a prosadit jeho realizaci.</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bezpečnost práce (neklouzavá podlaha, dostatek osvětlení, volný prostor pro pohyb a práci paznehtáře, možnost odstranění výkalů, bezpečný přívod elektrické energie).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Vyřešit optimální skupinu zvířat připravených k ošetření před vstupem do fixační klece a jejich následný odchod.</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nahánění zvířete do fixační klece posoudit jeho pohyb, zaznamenat kulhání a tvar paznehtů.</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 fixační klece dostat zvíře v klidu, nevhodným chováním nevyvolávat stres zvířat.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Fixovat zvíře ve fixační kleci a zhodnotit možnou míru stresu.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Zvolit a provést vhodný způsob korektury paznehtů, zvolit vhodné nářadí a pomůcky.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Objasnit rozdíl tvaru a nárůstu paznehtů u hrudních a pánevních končetin skotu.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kladnou interakci ve vztahu člověk – zvíře.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Dát pozor na syndrom posledních zvířat ve skupině.</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Vyvarovat se chyb při úpravě a přizpůsobit se konkrétním technologickým a zoohygienickým podmínkám.</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Řešit onemocnění paznehtu s ohledem na získané zkušenosti bez porušení platné legislativy.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Správně identifikovat onemocnění paznehtu a charakterizovat příčinu.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Zvážit možnost předat zvíře k léčbě či ošetření veterinárnímu lékaři a provést o tom záznam.</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Zapsat evidenci nemocných zvířat a připravit zprávu pro chovatele.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preventivní opatření proti infekčním chorobám a doporučit vhodný preventivní postup.</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kontakt s chovatelem při hodnocení a řešení problémů s paznehty.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nutno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Paznehtář, 28.5.2026 3:26:44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6"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paznehtáře, odpovídající aktuálnímu obsahu příslušné profesní kvalifikace.</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oboru zaměřeném na chov zvířat nebo vysokoškolské vzdělání v oblasti zemědělství a alespoň 5 let odborné praxe paznehtáře, odpovídající aktuálnímu obsahu příslušné profesní kvalifikace.</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veterinárního lékařství a alespoň 5 let praxe související s léčením skotu, odpovídající aktuálnímu obsahu příslušné profesní kvalifikace.</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41-049-H Paznehtář a střední vzdělání s maturitní zkouškou a alespoň 5 let odborné praxe paznehtáře, odpovídající aktuálnímu obsahu příslušné profesní kvalifikace.</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je k dispozici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Paznehtář, 28.5.2026 3:26:44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•Potřebný počet kusů skotu pro ošetření a úpravu paznehtů (7 ks skotu pro jednoho uchazeče, z toho nejméně 3 kusy s různým zdravotním postižením paznehtů) </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Paznehtář, 28.5.2026 3:26:44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Markéta Kvapilová - OSVČ (poradenství v chovu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David Bendák - OSVČ, soukromý zemědělec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CE-F, OSVČ, podkovář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 28.5.2026 3:26:44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1403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23A1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F987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