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A1371" Type="http://schemas.openxmlformats.org/officeDocument/2006/relationships/officeDocument" Target="/word/document.xml" /><Relationship Id="coreRB9A1371" Type="http://schemas.openxmlformats.org/package/2006/relationships/metadata/core-properties" Target="/docProps/core.xml" /><Relationship Id="customRB9A13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Zemědělec-farmář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23.06.2011 do: 10.06.2017</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paznehtu</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d) Popsat vliv stájového prostředí na zdravotní stav končetin skotu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49"/>
        <w:rPr>
          <w:rStyle w:val="C3"/>
          <w:rtl w:val="0"/>
        </w:rPr>
      </w:pPr>
    </w:p>
    <w:p>
      <w:pPr>
        <w:pStyle w:val="P13"/>
        <w:framePr w:w="6658" w:h="480" w:hRule="exact" w:wrap="none" w:vAnchor="page" w:hAnchor="margin" w:x="71" w:y="6205"/>
        <w:rPr>
          <w:rStyle w:val="C11"/>
          <w:rtl w:val="0"/>
        </w:rPr>
      </w:pPr>
      <w:r>
        <w:rPr>
          <w:rStyle w:val="C11"/>
          <w:rtl w:val="0"/>
        </w:rPr>
        <w:t>e) Popsat rozdíl mezi volným a vazným ustájením z pohledu kvality a nárůstu paznehtu</w:t>
      </w:r>
    </w:p>
    <w:p>
      <w:pPr>
        <w:pStyle w:val="P28"/>
        <w:framePr w:w="3921" w:h="607" w:hRule="exact" w:wrap="none" w:vAnchor="page" w:hAnchor="margin" w:x="6800" w:y="6149"/>
        <w:rPr>
          <w:rStyle w:val="C3"/>
          <w:rtl w:val="0"/>
        </w:rPr>
      </w:pPr>
    </w:p>
    <w:p>
      <w:pPr>
        <w:pStyle w:val="P29"/>
        <w:framePr w:w="3839" w:h="480" w:hRule="exact" w:wrap="none" w:vAnchor="page" w:hAnchor="margin" w:x="6856" w:y="6205"/>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f) Popsat vliv podlahovin na obrus paznehtu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12"/>
        <w:framePr w:w="6710" w:h="607" w:hRule="exact" w:wrap="none" w:vAnchor="page" w:hAnchor="margin" w:x="45" w:y="7132"/>
        <w:rPr>
          <w:rStyle w:val="C3"/>
          <w:rtl w:val="0"/>
        </w:rPr>
      </w:pPr>
    </w:p>
    <w:p>
      <w:pPr>
        <w:pStyle w:val="P13"/>
        <w:framePr w:w="6658" w:h="480" w:hRule="exact" w:wrap="none" w:vAnchor="page" w:hAnchor="margin" w:x="71" w:y="7188"/>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132"/>
        <w:rPr>
          <w:rStyle w:val="C3"/>
          <w:rtl w:val="0"/>
        </w:rPr>
      </w:pPr>
    </w:p>
    <w:p>
      <w:pPr>
        <w:pStyle w:val="P29"/>
        <w:framePr w:w="3839" w:h="480" w:hRule="exact" w:wrap="none" w:vAnchor="page" w:hAnchor="margin" w:x="6856" w:y="7188"/>
        <w:rPr>
          <w:rStyle w:val="C21"/>
          <w:rtl w:val="0"/>
        </w:rPr>
      </w:pPr>
      <w:r>
        <w:rPr>
          <w:rStyle w:val="C21"/>
          <w:rtl w:val="0"/>
        </w:rPr>
        <w:t>Písemné ověření</w:t>
      </w:r>
    </w:p>
    <w:p>
      <w:pPr>
        <w:pStyle w:val="P16"/>
        <w:framePr w:w="6710" w:h="607" w:hRule="exact" w:wrap="none" w:vAnchor="page" w:hAnchor="margin" w:x="45" w:y="7739"/>
        <w:rPr>
          <w:rStyle w:val="C3"/>
          <w:rtl w:val="0"/>
        </w:rPr>
      </w:pPr>
    </w:p>
    <w:p>
      <w:pPr>
        <w:pStyle w:val="P17"/>
        <w:framePr w:w="6658" w:h="480" w:hRule="exact" w:wrap="none" w:vAnchor="page" w:hAnchor="margin" w:x="71" w:y="7795"/>
        <w:rPr>
          <w:rStyle w:val="C13"/>
          <w:rtl w:val="0"/>
        </w:rPr>
      </w:pPr>
      <w:r>
        <w:rPr>
          <w:rStyle w:val="C13"/>
          <w:rtl w:val="0"/>
        </w:rPr>
        <w:t>h) Vyhodnotit nárůst mléčné užitkovosti dojnic ve vztahu ke kvalitě a případným onemocněním paznehtu a zatížení pánevních končetin</w:t>
      </w:r>
    </w:p>
    <w:p>
      <w:pPr>
        <w:pStyle w:val="P30"/>
        <w:framePr w:w="3921" w:h="607" w:hRule="exact" w:wrap="none" w:vAnchor="page" w:hAnchor="margin" w:x="6800" w:y="7739"/>
        <w:rPr>
          <w:rStyle w:val="C3"/>
          <w:rtl w:val="0"/>
        </w:rPr>
      </w:pPr>
    </w:p>
    <w:p>
      <w:pPr>
        <w:pStyle w:val="P31"/>
        <w:framePr w:w="3839" w:h="480" w:hRule="exact" w:wrap="none" w:vAnchor="page" w:hAnchor="margin" w:x="6856" w:y="7795"/>
        <w:rPr>
          <w:rStyle w:val="C22"/>
          <w:rtl w:val="0"/>
        </w:rPr>
      </w:pPr>
      <w:r>
        <w:rPr>
          <w:rStyle w:val="C22"/>
          <w:rtl w:val="0"/>
        </w:rPr>
        <w:t>Písemné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i) Popsat vliv genetických faktorů na kvalitu paznehtů</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Písemné ověření</w:t>
      </w:r>
    </w:p>
    <w:p>
      <w:pPr>
        <w:pStyle w:val="P16"/>
        <w:framePr w:w="6710" w:h="376" w:hRule="exact" w:wrap="none" w:vAnchor="page" w:hAnchor="margin" w:x="45" w:y="8722"/>
        <w:rPr>
          <w:rStyle w:val="C3"/>
          <w:rtl w:val="0"/>
        </w:rPr>
      </w:pPr>
    </w:p>
    <w:p>
      <w:pPr>
        <w:pStyle w:val="P17"/>
        <w:framePr w:w="6658" w:h="249" w:hRule="exact" w:wrap="none" w:vAnchor="page" w:hAnchor="margin" w:x="71" w:y="8778"/>
        <w:rPr>
          <w:rStyle w:val="C13"/>
          <w:rtl w:val="0"/>
        </w:rPr>
      </w:pPr>
      <w:r>
        <w:rPr>
          <w:rStyle w:val="C13"/>
          <w:rtl w:val="0"/>
        </w:rPr>
        <w:t>j) Popsat a předvést základní péči o končetiny a paznehty skotu</w:t>
      </w:r>
    </w:p>
    <w:p>
      <w:pPr>
        <w:pStyle w:val="P30"/>
        <w:framePr w:w="3921" w:h="376" w:hRule="exact" w:wrap="none" w:vAnchor="page" w:hAnchor="margin" w:x="6800" w:y="8722"/>
        <w:rPr>
          <w:rStyle w:val="C3"/>
          <w:rtl w:val="0"/>
        </w:rPr>
      </w:pPr>
    </w:p>
    <w:p>
      <w:pPr>
        <w:pStyle w:val="P31"/>
        <w:framePr w:w="3839" w:h="249" w:hRule="exact" w:wrap="none" w:vAnchor="page" w:hAnchor="margin" w:x="6856" w:y="8778"/>
        <w:rPr>
          <w:rStyle w:val="C22"/>
          <w:rtl w:val="0"/>
        </w:rPr>
      </w:pPr>
      <w:r>
        <w:rPr>
          <w:rStyle w:val="C22"/>
          <w:rtl w:val="0"/>
        </w:rPr>
        <w:t>Praktické předvedení s výkladem</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k) Popsat specifika zacházení s masným skotem při péči o paznehty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l) Popsat specifika zacházení s plemennými býky při péči o paznehty</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Písemné ověření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a upravit pracoviště z hlediska organizace předpokládaných činností a bezpečnosti práce (vybrat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 a 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sortiment fixačních klecí a nářadí paznehtáře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 a 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faktory pro výběr vhodné fixační klece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 a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 a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a předvést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 a 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zařízení na zvedání nemohoucích krav</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 a 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 a praktické předvedení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Ústní ověření a 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 a 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 a praktické předvedení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paznehtu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paznehtu a posoudit chodidlovou část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výkladem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výkladem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výkladem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výkladem</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s výkladem</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nebo ústní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poranění zvířat při úpravě paznehtů a popsat první pomoc</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nebo 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nebo 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nebo ústní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veterinárního zákona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výkladem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 a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 a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 a 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Rustelholzův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 a 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 a praktické předvedení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 a praktické předvedení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nekrotickou část</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 a praktické předvedení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Ústní ověření a 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 a praktické předvedení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důsledek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Ústní ověření a 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Charakterizovat a ošetřit laminitidu paznehtu</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 a 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o) Rozlišit laminitidu od přirozených skvrn plemene na chodidlové části</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Ústní ověření a 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p) Charakterizovat a ošetřit zlomeninu kosti paznehtní, zajistit součinnost s veterinářem</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Ústní ověření a 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q) Popsat a předvést chemické podkování paznehtu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Ústní ověření a praktické předvedení</w:t>
      </w:r>
    </w:p>
    <w:p>
      <w:pPr>
        <w:pStyle w:val="P16"/>
        <w:framePr w:w="6710" w:h="607" w:hRule="exact" w:wrap="none" w:vAnchor="page" w:hAnchor="margin" w:x="45" w:y="10737"/>
        <w:rPr>
          <w:rStyle w:val="C3"/>
          <w:rtl w:val="0"/>
        </w:rPr>
      </w:pPr>
    </w:p>
    <w:p>
      <w:pPr>
        <w:pStyle w:val="P17"/>
        <w:framePr w:w="6658" w:h="480" w:hRule="exact" w:wrap="none" w:vAnchor="page" w:hAnchor="margin" w:x="71" w:y="10793"/>
        <w:rPr>
          <w:rStyle w:val="C13"/>
          <w:rtl w:val="0"/>
        </w:rPr>
      </w:pPr>
      <w:r>
        <w:rPr>
          <w:rStyle w:val="C13"/>
          <w:rtl w:val="0"/>
        </w:rPr>
        <w:t>r) Přiložit obvaz paznehtu včetně jeho špičky a plastovou botičku na ochranu léčeného paznehtu</w:t>
      </w:r>
    </w:p>
    <w:p>
      <w:pPr>
        <w:pStyle w:val="P30"/>
        <w:framePr w:w="3921" w:h="607" w:hRule="exact" w:wrap="none" w:vAnchor="page" w:hAnchor="margin" w:x="6800" w:y="10737"/>
        <w:rPr>
          <w:rStyle w:val="C3"/>
          <w:rtl w:val="0"/>
        </w:rPr>
      </w:pPr>
    </w:p>
    <w:p>
      <w:pPr>
        <w:pStyle w:val="P31"/>
        <w:framePr w:w="3839" w:h="480" w:hRule="exact" w:wrap="none" w:vAnchor="page" w:hAnchor="margin" w:x="6856" w:y="10793"/>
        <w:rPr>
          <w:rStyle w:val="C22"/>
          <w:rtl w:val="0"/>
        </w:rPr>
      </w:pPr>
      <w:r>
        <w:rPr>
          <w:rStyle w:val="C22"/>
          <w:rtl w:val="0"/>
        </w:rPr>
        <w:t>Ústní ověření a praktické předvedení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Zhodnotit odlehčení a korekci vnějšího paznehtu na pánevní končetině</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Ústní ověření a praktické předvedení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t) Odlehčit nemocný prst</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Ústní ověření a praktické předvedení</w:t>
      </w:r>
    </w:p>
    <w:p>
      <w:pPr>
        <w:pStyle w:val="P12"/>
        <w:framePr w:w="6710" w:h="607" w:hRule="exact" w:wrap="none" w:vAnchor="page" w:hAnchor="margin" w:x="45" w:y="12096"/>
        <w:rPr>
          <w:rStyle w:val="C3"/>
          <w:rtl w:val="0"/>
        </w:rPr>
      </w:pPr>
    </w:p>
    <w:p>
      <w:pPr>
        <w:pStyle w:val="P13"/>
        <w:framePr w:w="6658" w:h="480" w:hRule="exact" w:wrap="none" w:vAnchor="page" w:hAnchor="margin" w:x="71" w:y="12152"/>
        <w:rPr>
          <w:rStyle w:val="C11"/>
          <w:rtl w:val="0"/>
        </w:rPr>
      </w:pPr>
      <w:r>
        <w:rPr>
          <w:rStyle w:val="C11"/>
          <w:rtl w:val="0"/>
        </w:rPr>
        <w:t>u) Klasifikovat preventivní opatření onemocnění paznehtů (dezinfekční vany, stání, rohože, postřiky)</w:t>
      </w:r>
    </w:p>
    <w:p>
      <w:pPr>
        <w:pStyle w:val="P28"/>
        <w:framePr w:w="3921" w:h="607" w:hRule="exact" w:wrap="none" w:vAnchor="page" w:hAnchor="margin" w:x="6800" w:y="12096"/>
        <w:rPr>
          <w:rStyle w:val="C3"/>
          <w:rtl w:val="0"/>
        </w:rPr>
      </w:pPr>
    </w:p>
    <w:p>
      <w:pPr>
        <w:pStyle w:val="P29"/>
        <w:framePr w:w="3839" w:h="480" w:hRule="exact" w:wrap="none" w:vAnchor="page" w:hAnchor="margin" w:x="6856" w:y="12152"/>
        <w:rPr>
          <w:rStyle w:val="C21"/>
          <w:rtl w:val="0"/>
        </w:rPr>
      </w:pPr>
      <w:r>
        <w:rPr>
          <w:rStyle w:val="C21"/>
          <w:rtl w:val="0"/>
        </w:rPr>
        <w:t>Písemné ověření</w:t>
      </w:r>
    </w:p>
    <w:p>
      <w:pPr>
        <w:pStyle w:val="P16"/>
        <w:framePr w:w="6710" w:h="376" w:hRule="exact" w:wrap="none" w:vAnchor="page" w:hAnchor="margin" w:x="45" w:y="12703"/>
        <w:rPr>
          <w:rStyle w:val="C3"/>
          <w:rtl w:val="0"/>
        </w:rPr>
      </w:pPr>
    </w:p>
    <w:p>
      <w:pPr>
        <w:pStyle w:val="P17"/>
        <w:framePr w:w="6658" w:h="249" w:hRule="exact" w:wrap="none" w:vAnchor="page" w:hAnchor="margin" w:x="71" w:y="12759"/>
        <w:rPr>
          <w:rStyle w:val="C13"/>
          <w:rtl w:val="0"/>
        </w:rPr>
      </w:pPr>
      <w:r>
        <w:rPr>
          <w:rStyle w:val="C13"/>
          <w:rtl w:val="0"/>
        </w:rPr>
        <w:t>v) Vyjmenovat používané dezinfekční prostředky</w:t>
      </w:r>
    </w:p>
    <w:p>
      <w:pPr>
        <w:pStyle w:val="P30"/>
        <w:framePr w:w="3921" w:h="376" w:hRule="exact" w:wrap="none" w:vAnchor="page" w:hAnchor="margin" w:x="6800" w:y="12703"/>
        <w:rPr>
          <w:rStyle w:val="C3"/>
          <w:rtl w:val="0"/>
        </w:rPr>
      </w:pPr>
    </w:p>
    <w:p>
      <w:pPr>
        <w:pStyle w:val="P31"/>
        <w:framePr w:w="3839" w:h="249" w:hRule="exact" w:wrap="none" w:vAnchor="page" w:hAnchor="margin" w:x="6856" w:y="12759"/>
        <w:rPr>
          <w:rStyle w:val="C22"/>
          <w:rtl w:val="0"/>
        </w:rPr>
      </w:pPr>
      <w:r>
        <w:rPr>
          <w:rStyle w:val="C22"/>
          <w:rtl w:val="0"/>
        </w:rPr>
        <w:t>Písemné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požadavky chovatele (majitele)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Vyhodnotit technologické a zoohygienické podmínky (plemeno, pohlaví, věk, počet zvířat, typ ustájení, kvalitu podlahovin, způsob podestýlky)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závěrečnou zprávu a metodická doporučení pro chovatele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evidence související s paznehtářskou činností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Předvést postup při sjednávání zakázek se zákazníkem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Zhodnotit ekonomické aspekty onemocnění paznehtů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by mělo pokud možno probíhat v navazujících činnostech vedoucích k ucelenému paznehtářskému úkonu, který zahrnuje požadavky na zlepšení pohybových schopností a celkové welfare skotu. Ke zkoušce každého uchazeče musí být připraveny 4 kusy skotu pro úpravu paznehtů.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Zjistit požadavky chovatele (majitele)zvířat na ortopedickou úpravu paznehtů skotu a zhodnotit cyklus ošetření v konkrétním stádě.</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technologické a zoohygienické podmínky ustájených zvířat.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a věk zvířat, počet v sekci a navrhnout dobu ošetření paznehtů s přihlédnutím k provozním podmínkám zejména s ohledem na dobu dojení, krmení, úklid stájí a další provozní záležitosti apod.</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Vyhodnotit kvalitu podlahovin vzhledem k obrusu chodidlové části paznehtu.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Odhadnout kulhavost stáda a závažnost onemocnění končetin skotu.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Vybrat vhodné místo pro umístění fixační klece a pokusit se využít technologických možností vybavení stáje u chovatele. V případě nevhodného řešení u chovatele navrhnout jiné a prosadit jeho realizaci.</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bezpečnost práce (neklouzavá podlaha, dostatek osvětlení, volný prostor pro pohyb a práci paznehtáře, možnost odstranění výkalů, bezpečný přívod elektrické energie).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Vyřešit optimální skupinu zvířat připravených k ošetření před vstupem do fixační klece a jejich následný odchod.</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nahánění zvířete do fixační klece posoudit jeho pohyb, zaznamenat kulhání a tvar paznehtu.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 fixační klece dostat zvíře v klidu, zbytečně nevhodným chováním nevyvolávat stres zvířat.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Fixovat zvíře ve fixační kleci a zhodnotit možnou míru stresu.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Zvolit a provést vhodný způsob kontury paznehtu, zvolit vhodné nářadí a pomůcky.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rozdíl tvaru a nárůstu paznehtu u hrudní a pánevní končetiny skotu.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kladnou interakci ve vztahu člověk – zvíře.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Vyvarovat se chyb při úpravě a přizpůsobit se konkrétním technologickým a zoohygienickým podmínkám.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Dát pozor na syndrom posledních zvířat ve skupině.</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Řešit onemocnění paznehtu s ohledem na získané zkušenosti bez porušení veterinárního zákona.</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Správně identifikovat onemocnění paznehtu a charakterizovat příčinu.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Zvážit možnost předat zvíře veterinárnímu lékaři a provést to písemnou formou.</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Zapsat evidenci nemocných zvířat a připravit zprávu pro chovatele.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preventivní opatření proti infekčním chorobám a doporučit vhodný preventivní postup.</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kontakt s chovatelem při hodnocení a řešení problémů s paznehty.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ošetření a úpravy paznehtů tak, aby splňovalo maximální pohodu zvířete. Je nutno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61"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zemědělském oboru a alespoň 10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zemědělském oboru zaměřeném na chov zvířat nebo vysokoškolské vzdělání v oblasti zemědělství a alespoň 5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veterinárního lékařství a alespoň 5 let praxe související s léčením skotu,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Dílčí kvalifikace paznehtář, střední vzdělání s maturitní zkouškou a alespoň 10 let odborné praxe paznehtáře, z toho minimálně jeden rok v období posledních dvou let před podáním žádosti o udělení autorizace.</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75"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 vybavená paznehtářská dílna s nářadím (kopytní struhák, dvouruční struhák, kopytní kleště a kopytní nože, keratofréza a keratobruska) a fixační klece a pomůcky</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(zajistí si každý uchazeč sám)</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Potřebný počet kusů skotu pro ošetření a úpravu paznehtů (7 ks skotu pro jednoho uchazeče) </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a písemnou část vybavená potřebnými didaktickými pomůckami</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zvířaty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Paznehtářství</w:t>
      </w:r>
    </w:p>
    <w:p>
      <w:pPr>
        <w:keepNext w:val="0"/>
        <w:keepLines w:val="0"/>
        <w:framePr w:w="10766" w:h="352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Vinčálek – Podkovářství</w:t>
      </w:r>
    </w:p>
    <w:p>
      <w:pPr>
        <w:pStyle w:val="P21"/>
        <w:framePr w:w="7654" w:h="331" w:hRule="exact" w:wrap="none" w:vAnchor="page" w:hAnchor="margin" w:x="28" w:y="15940"/>
        <w:rPr>
          <w:rStyle w:val="C16"/>
          <w:rtl w:val="0"/>
        </w:rPr>
      </w:pPr>
      <w:r>
        <w:rPr>
          <w:rStyle w:val="C16"/>
          <w:rtl w:val="0"/>
        </w:rPr>
        <w:t>Paznehtář, 9.9.2026 23:23:01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