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618BE7" Type="http://schemas.openxmlformats.org/officeDocument/2006/relationships/officeDocument" Target="/word/document.xml" /><Relationship Id="coreRE618BE7" Type="http://schemas.openxmlformats.org/package/2006/relationships/metadata/core-properties" Target="/docProps/core.xml" /><Relationship Id="customRE618B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pro rostlinnou výrobu (kód: 41-052-N)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půdních a klimatických podmínek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osevních sledů a plánů hnojení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půdy, předseťová příprava, setí a sázení zemědělských plodin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porostů zemědělských plodin a vegetace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sklizně zemědělských plodin, posklizňového ošetření a konzervace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prvotní evidence v zemědělském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dotační politice EU a ČR vztahující se k zemědělskému podnikání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Posouzení podmínek kontrol podmíněnosti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Popis omezujících podmínek hospodaření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databázemi a informačními systémy v oblasti zemědělství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Zpracování projektu a jeho prezentace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23.06.2011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rostlinnou výrobu, 30.9.2026 1:58:24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minimálně střední vzdělání s maturitní zkouškou. Doporučujeme, aby měl střední nebo vysokoškolské vzdělání v zemědělském oboru a minimálně 3 roky praxe v zemědělství.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Některá kritéria budou ověřována přímo na zadaném konkrétním pozemku. Pro účely ověřování způsobilostí byly stanoveny tyto skupiny základních plodin: obiloviny, olejniny, okopaniny a pícniny. Uchazeč může během zkoušky používat platný akční program pro nitrátově zranitelné oblasti a veřejně dostupné mapové i popisné informace ohledně ochrany vod a krajiny na internetu.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obhajoba projektu zadaného autorizovanou osobou v rozsahu 10 až 20 minut. Uchazeč zpracuje projekt před vykonáním zkoušky. Pro zpracování projektu se doporučuje tato struktura: název projektu, základní informace o projektu, cíl projektu, vlastní práce, doporučení pro praxi, závěr.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rostlinnou výrobu, 30.9.2026 1:58:24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zemědělství, v níž byly zastoupeny: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Rybářské sdružení České republiky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 (SCHČT)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České republiky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 s.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ZAS Úžice, a. s.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zemědělské ekonomiky a informací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rostlinnou výrobu, 30.9.2026 1:58:24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