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AB9006" Type="http://schemas.openxmlformats.org/officeDocument/2006/relationships/officeDocument" Target="/word/document.xml" /><Relationship Id="coreR29AB9006" Type="http://schemas.openxmlformats.org/package/2006/relationships/metadata/core-properties" Target="/docProps/core.xml" /><Relationship Id="customR29AB90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– přípravář / autolakýrnice – přípravářka (kód: 23-018-H)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druhu a rozsahu poškození vozidla a následná volba technologického postupu a rozsahu 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Maskování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povrchu karoserie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Volba, příprava a aplikace podkladových nátěrových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obsluha zařízení lakovny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podkladových nátěrových hmot pneumatickými stříkacími pistolemi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Seřízení, ošetření a údržba pneumatických stříkacích pistolí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Oprava lakovaných povrchů broušením a leštěním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Demontáž a montáž drobných částí karosérií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– přípravář / autolakýrnice – přípravářka, 30.9.2026 6:44:17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"https://nsp.cz/jednotka-prace/autolakyrnik"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https://nsp.cz/jednotka-prace/autolakyrnik#zdravotni-zpusobilost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hodnocení u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povrchu karoserie, Volba, příprava a aplikace podkladových nátěrových hmot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Aplikace podkladových nátěrových hmot pneumatickými stříkacími pistolemi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splnit minimálně na 90% plochy určeného dílu karoserie vozidla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– přípravář / autolakýrnice – přípravářka, 30.9.2026 6:44:17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Košťál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Interaktion,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– přípravář / autolakýrnice – přípravářka, 30.9.2026 6:44:17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0C438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