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69EE27" Type="http://schemas.openxmlformats.org/officeDocument/2006/relationships/officeDocument" Target="/word/document.xml" /><Relationship Id="coreRA69EE27" Type="http://schemas.openxmlformats.org/package/2006/relationships/metadata/core-properties" Target="/docProps/core.xml" /><Relationship Id="customRA69EE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druhu a rozsahu poškození vozidla a následná volba technologického postupu a rozsahu 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Maskování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povrchu karoserie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příprava a aplikace podkladových nátěrových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obsluha zařízení lakovny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podkladových nátěrových hmot pneumatickými stříkacími pistolemi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Oprava lakovaných povrchů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Demontáž a montáž drobných částí karosérií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20.8.2026 15:44:26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povrchu karoserie, Volba, příprava a aplikace podkladových nátěrových hmot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Aplikace podkladových nátěrových hmot pneumatickými stříkacími pistolemi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splnit minimálně na 90% plochy určeného dílu karoserie vozidla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20.8.2026 15:44:26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20.8.2026 15:44:26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B0A7C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