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F5CF2" Type="http://schemas.openxmlformats.org/officeDocument/2006/relationships/officeDocument" Target="/word/document.xml" /><Relationship Id="coreR2E5F5CF2" Type="http://schemas.openxmlformats.org/package/2006/relationships/metadata/core-properties" Target="/docProps/core.xml" /><Relationship Id="customR2E5F5C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přípravář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druhu a rozsahu poškození vozidla a následná volba technologického postupu a rozsahu 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Maskování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povrchu karoserie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příprava a aplikace podkladových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obsluha zařízení lakovny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podkladových nátěrových hmot pneumatickými stříkacími pistolemi. Seřízení, ošetřování a údržba stříkacích pistolí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Oprava lakovaných povrchů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Demontáž a montáž drobných částí karosérií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18.09.2011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30.9.2026 2:43:13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http://katalog.nsp.cz/karta_tp.aspx?id_jp=30739&amp;kod_sm1=37).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uchazeče – minimální úroveň je dána základním vzděláním, úroveň 1.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některých kritérií je možné zvolit mezi písemným a ústním ověřením. Rozhodnutí je v kompetenci autorizované osoby zejména podle počtu uchazečů o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30.9.2026 2:43:13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v SR pro ostatní služby, v níž byly zastoupeny: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OHK Klatovy Petr Havrda Consulting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prodejců a opravářů motorových vozidel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 (SAČR)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AUTOLAKY MIKOS,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INTERACTION,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spol. s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přípravář, 30.9.2026 2:43:13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