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7B07E" Type="http://schemas.openxmlformats.org/officeDocument/2006/relationships/officeDocument" Target="/word/document.xml" /><Relationship Id="coreR6877B07E" Type="http://schemas.openxmlformats.org/package/2006/relationships/metadata/core-properties" Target="/docProps/core.xml" /><Relationship Id="customR6877B0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složení a základních vlastnostech nátěrových hmot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podkladových vrstev části karoserie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Definování poškození a vad nátěrových systémů, příčin jejich vzniku,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oprav nátěrových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Maskování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nátěrových hmot pomocí pneumatických stříkacích pistolí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zařízení lakovny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Určení správného odstínu a jeho namíchání, základy koloristiky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30.9.2026 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http://katalog.nsp.cz/zdravotniPodminky.aspx?id_jp=102889).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technologických postupů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-maskování vozidla-konkretní opravovabná část karoserie a zakrytí celého vozidla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-aplikace nátěrových hmotpomocí pneumatických stříkacích pistolí-provést stříkání metalických,perleťových nebometalicko-perleťových receptůr vrchních laků do rozstřiku vedlejšího dílu(blatník,dveře)Bezbarvý lak nalakovat na dva díly.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dána ustanovením zákona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30.9.2026 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ISŠautomobilní Brno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30.9.2026 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