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A096E" Type="http://schemas.openxmlformats.org/officeDocument/2006/relationships/officeDocument" Target="/word/document.xml" /><Relationship Id="coreR7BBA096E" Type="http://schemas.openxmlformats.org/package/2006/relationships/metadata/core-properties" Target="/docProps/core.xml" /><Relationship Id="customR7BBA09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-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 v lakovně a orientace v právních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složení a základních vlastnostech nátěrových hmot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podkladových vrstev části karoserie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Definování poškození a vad nátěrových systémů, příčin jejich vzniku,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oprav nátěrových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Maskování vozidla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nátěrových hmot pomocí pneumatických stříkacích pistolí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Seřízení, ošetření a údržba pneumatických stříkacích pistolí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zařízení lakovny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Určení správného odstínu a jeho namíchání, základy koloristiky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http://katalog.nsp.cz/zdravotniPodminky.aspx?id_jp=102889).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technologických postupů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-maskování vozidla-konkretní opravovabná část karoserie a zakrytí celého vozidla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-aplikace nátěrových hmotpomocí pneumatických stříkacích pistolí-provést stříkání metalických,perleťových nebometalicko-perleťových receptůr vrchních laků do rozstřiku vedlejšího dílu(blatník,dveře)Bezbarvý lak nalakovat na dva díly.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na uchazeče – minimální úroveň je dána ustanovením zákona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AutoFit,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ISŠautomobilní Brno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Košťál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Toplac,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Interaktion,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Servind,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Autolakýrník - finální povrchová úprava, 20.10.2026 9:52:01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