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445E2" Type="http://schemas.openxmlformats.org/officeDocument/2006/relationships/officeDocument" Target="/word/document.xml" /><Relationship Id="coreR744445E2" Type="http://schemas.openxmlformats.org/package/2006/relationships/metadata/core-properties" Target="/docProps/core.xml" /><Relationship Id="customR744445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nátěrových hmot pomocí pneumatických stříkacích pistolí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zařízení lakovny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Určení správného odstínu a jeho namíchání, základy koloristiky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20.10.2026 8:51:20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"nsp.cz\\jednotka-prace\\autolakyrnik"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jeho částech je nutné klást důraz na: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opravu konkrétní části karoserie a zakrytí celého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aplikaci nátěrových hmot pomocí pneumatických stříkacích pistolí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provedení stříkání metalických, perleťových nebo metalicko-perleťových receptur vrchních laků do rozstřiku vedlejšího dílu (blatník, dveře) 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nalakování dvou dílů bezbarvým krycím lakem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praktického předvedení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(praktického předvedení a ústní ověření) je třeba přihlížet především k bezpečnému provádění všech úkonů i k časovému hledisku zvládání operací. 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nátěrových hmot pomocí pneumatických stříkacích pistolí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minimálně na 90% plochy určeného dílu karoserie vozidla.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správného odstínu a jeho namíchání, základy koloristiky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minimálně jednu otázku ke každému kritériu, které uchazeč písemně vypracuje a ústně doplní.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20.10.2026 8:51:20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20.10.2026 8:51:20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69AD0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