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D6900" Type="http://schemas.openxmlformats.org/officeDocument/2006/relationships/officeDocument" Target="/word/document.xml" /><Relationship Id="coreR689D6900" Type="http://schemas.openxmlformats.org/package/2006/relationships/metadata/core-properties" Target="/docProps/core.xml" /><Relationship Id="customR689D6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"nsp.cz\\jednotka-prace\\autolakyrnik"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jeho částech je nutné klást důraz na: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opravu konkrétní části karoserie a zakrytí celého vozidla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aplikaci nátěrových hmot pomocí pneumatických stříkacích pistolí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provedení stříkání metalických, perleťových nebo metalicko-perleťových receptur vrchních laků do rozstřiku vedlejšího dílu (blatník, dveře) 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nalakování dvou dílů bezbarvým krycím lakem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(praktického předvedení a ústní ověření) je třeba přihlížet především k bezpečnému provádění všech úkonů i k časovému hledisku zvládání operací. 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Maskování vozidla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nátěrových hmot pomocí pneumatických stříkacích pistolí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minimálně na 90% plochy určeného dílu karoserie vozidla.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správného odstínu a jeho namíchání, základy koloristiky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minimálně jednu otázku ke každému kritériu, které uchazeč písemně vypracuje a ústně doplní.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Autolakýrník/autolakýrnice – finální povrchová úprava,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4250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