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2F3FDA" Type="http://schemas.openxmlformats.org/officeDocument/2006/relationships/officeDocument" Target="/word/document.xml" /><Relationship Id="coreR442F3FDA" Type="http://schemas.openxmlformats.org/package/2006/relationships/metadata/core-properties" Target="/docProps/core.xml" /><Relationship Id="customR442F3F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lakovacích materiálů pomocí pneumatických stříkacích pistolí, seřízení, ošetřování a údržba stříkacích pistolí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zařízení lakovny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Určení správného odstínu a jeho namíchání, základy koloristiky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18.09.2011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20.10.2026 12:55:26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http://katalog.nsp.cz/karta_tp.aspx?id_jp=30739&amp;kod_sm1=37).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technologických postupů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uchazeče – minimální úroveň je dána základním vzděláním, úroveň 1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některých kritérií je možné zvolit mezi písemným a ústním ověřením. Rozhodnutí je v kompetenci autorizované osoby zejména podle počtu uchazečů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20.10.2026 12:55:26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v SR pro ostatní služby, v níž byly zastoupeny: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OHK Klatovy Petr Havrda Consulting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prodejců a opravářů motorových vozidel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 (SAČR)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AUTOLAKY MIKOS,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INTERACTION,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spol. s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20.10.2026 12:55:26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