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3E4CF" Type="http://schemas.openxmlformats.org/officeDocument/2006/relationships/officeDocument" Target="/word/document.xml" /><Relationship Id="coreRE33E4CF" Type="http://schemas.openxmlformats.org/package/2006/relationships/metadata/core-properties" Target="/docProps/core.xml" /><Relationship Id="customRE33E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lakovacích materiálů pomocí pneumatických stříkacích pistolí,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lakovny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Určení správného odstínu a jeho namíchání, základy koloristiky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