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B05935" Type="http://schemas.openxmlformats.org/officeDocument/2006/relationships/officeDocument" Target="/word/document.xml" /><Relationship Id="coreR30B05935" Type="http://schemas.openxmlformats.org/package/2006/relationships/metadata/core-properties" Target="/docProps/core.xml" /><Relationship Id="customR30B059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pracovní (kód: 69-014-H)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pracovní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technologických postupů pro potápěčské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výstroje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sestavy vhodné potápěčské techniky a způsobu kontroly této techniky a výstroje potápěče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na pracovišti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záchranářských potápěčských prací při hledání, vyprošťování a evakuaci osob, techniky a materiálu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Prokázání znalostí potápěčské fyziky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Kontrolování, provádění odborných průzkumů a odstraňování havarijních a nebezpečných stavů objektů a zařízení pod vodou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Dokumentování objektů a zařízení pod vodou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Provádění potápěčských prací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Vykonávání potápěčských prací v uzavřeném prostoru a bez volné hladiny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20.10.2026 9:22:17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http://katalog.nsp.cz/karta_tp.aspx?id_jp=101717&amp;kod_sm1=20).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předložit certifikát s minimálně druhým kvalifikačním stupněm "samostatný potápěč" dle technické normy ČSN EN ISO - Rekreační potápění - Požadavky na výcvik rekreačních potápěčů v přístrojovém potápění, ve znění pozdějších předpisů.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Doložit prokazatelným záznamem ve stavebním deníku nebo v jednoduchém záznamu o stavbě dle zákona č. 183/2006 Sb. - stavební zákon, vyhlášky č. 499/2006 Sb., o dokumentaci staveb, a dalších souvisejících předpisů ve znění pozdějších předpisů, vykonanou praxi v pracovním potápění v minimálním rozsahu: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- 60 hodin práce v hloubce 0–20 m, z toho nejméně 10 hodin v hloubce 15–20 m;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- 20 hodin práce v hloubce 20–50 m, z toho nejméně 2 hodiny v hloubce 40–50 m.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se doporučuje zaměřit se na: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bezpečný způsob manipulace s potápěčskou výstrojí, přístroji a technikou;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a samostatné ošetřování potápěčské techniky;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 využívání komunikačních prostředků a techniky související s pracovním potápěním;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bezpečné provádění všech úkonů, kvalitu provedeného úkolu a na časové hledisko zvládání operací při praktickém ponoru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správného technického názvosloví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vykonat alespoň jeden ponor v minimální hloubce 20 m a maximální 30 m, v rámci něhož budou ověřována kritéria hodnocení kompetencí: Komunikace s pracovní skupinou a s jednotlivci pod vodou, Poskytování první pomoci se zaměřením na potápěčské nehody, Kontrolování, provádění odborných průzkumů a odstraňování havarijních a nebezpečných stavů objektů a zařízení pod vodou, Dokumentování objektů a zařízení pod vodou, Provádění potápěčských prací.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souvislosti s ověřováním kritéria e) u odborné kompetence Volba sestavy vhodné potápěčské techniky a způsobu kontroly této techniky a výstroje potápěče předloží uchazeč doklad o absolvování proškolení k obsluze vysokotlakého kompresoru.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20.10.2026 9:22:17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20.10.2026 9:22:17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