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2CE3A" Type="http://schemas.openxmlformats.org/officeDocument/2006/relationships/officeDocument" Target="/word/document.xml" /><Relationship Id="coreR2652CE3A" Type="http://schemas.openxmlformats.org/package/2006/relationships/metadata/core-properties" Target="/docProps/core.xml" /><Relationship Id="customR2652CE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22.11.2011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20.10.2026 9:21:49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http://katalog.nsp.cz/karta_tp.aspx?id_jp=151&amp;kod_sm1=20).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kvalifikaci potápěče podle ČSN EN 141 53-2 s ukončenou kvalifikací Potápěč P**, nebo AOWD (Advanced Open Water Diver) a doložit vykonanou praxi v pracovním potápění v minimálním rozsahu: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 při praktickém ponoru.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vykonat alespoň jeden ponor v minimální hloubce 20 m a maximální 30 m, v rámci něhož budou ověřována kritéria hodnocení kompetencí Komunikace s pracovní skupinou a s jednotlivci pod vodou, Poskytování první pomoci se zaměřením na potápěčské nehody, Kontrolování, provádění odborných průzkumů a odstraňování havarijních a nebezpečných stavů objektů a zařízení pod vodou, Dokumentování objektů a zařízení pod vodou, Provádění potápěčských prací.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20.10.2026 9:21:49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dílčí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potápěčů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20.10.2026 9:21:49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