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2C57F8" Type="http://schemas.openxmlformats.org/officeDocument/2006/relationships/officeDocument" Target="/word/document.xml" /><Relationship Id="coreR572C57F8" Type="http://schemas.openxmlformats.org/package/2006/relationships/metadata/core-properties" Target="/docProps/core.xml" /><Relationship Id="customR572C57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6:54:11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2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(nástroje, jeho části, podrobných údajů potřebných pro splnění požadavků zkoušky (tj. pro výrobu, úpravu či opravu, vysvětlení jednotlivých pracovních kroků) sdělí uchazeči autorizovaná osoba. Při výběru zadání vychází autorizovaná osoba především ze složitosti požadované práce. Požadovaný rozsah práce musí tedy být úměrný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6:54:11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SPŠ automobilní a technická, Č. Budějovice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Investix, a. s., Č. Budějovice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Fostron, a. s., Č. Budějovice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Strojírenská, a. s., Č. Budějovice</w:t>
      </w:r>
    </w:p>
    <w:p>
      <w:pPr>
        <w:pStyle w:val="P21"/>
        <w:framePr w:w="7654" w:h="331" w:hRule="exact" w:wrap="none" w:vAnchor="page" w:hAnchor="margin" w:x="28" w:y="15940"/>
        <w:rPr>
          <w:rStyle w:val="C16"/>
          <w:rtl w:val="0"/>
        </w:rPr>
      </w:pPr>
      <w:r>
        <w:rPr>
          <w:rStyle w:val="C16"/>
          <w:rtl w:val="0"/>
        </w:rPr>
        <w:t>Nástrojař pro formy na zpracování plastů a tlakové lití kovů, 30.9.2026 6:54:11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