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E5943A" Type="http://schemas.openxmlformats.org/officeDocument/2006/relationships/officeDocument" Target="/word/document.xml" /><Relationship Id="coreR21E5943A" Type="http://schemas.openxmlformats.org/package/2006/relationships/metadata/core-properties" Target="/docProps/core.xml" /><Relationship Id="customR21E594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formy na zpracování plastů a tlakové lití kovů, 20.8.2026 19:18:42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2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(nástroje, jeho části, podrobných údajů potřebných pro splnění požadavků zkoušky (tj. pro výrobu, úpravu či opravu, vysvětlení jednotlivých pracovních kroků) sdělí uchazeči autorizovaná osoba. Při výběru zadání vychází autorizovaná osoba především ze složitosti požadované práce. Požadovaný rozsah práce musí tedy být úměrný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21"/>
        <w:framePr w:w="7654" w:h="331" w:hRule="exact" w:wrap="none" w:vAnchor="page" w:hAnchor="margin" w:x="28" w:y="15940"/>
        <w:rPr>
          <w:rStyle w:val="C16"/>
          <w:rtl w:val="0"/>
        </w:rPr>
      </w:pPr>
      <w:r>
        <w:rPr>
          <w:rStyle w:val="C16"/>
          <w:rtl w:val="0"/>
        </w:rPr>
        <w:t>Nástrojař pro formy na zpracování plastů a tlakové lití kovů, 20.8.2026 19:18:42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SPŠ automobilní a technická, Č. Budějovice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 Č. Budějovice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 Č. Budějovice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 Č. Budějovice</w:t>
      </w:r>
    </w:p>
    <w:p>
      <w:pPr>
        <w:pStyle w:val="P21"/>
        <w:framePr w:w="7654" w:h="331" w:hRule="exact" w:wrap="none" w:vAnchor="page" w:hAnchor="margin" w:x="28" w:y="15940"/>
        <w:rPr>
          <w:rStyle w:val="C16"/>
          <w:rtl w:val="0"/>
        </w:rPr>
      </w:pPr>
      <w:r>
        <w:rPr>
          <w:rStyle w:val="C16"/>
          <w:rtl w:val="0"/>
        </w:rPr>
        <w:t>Nástrojař pro formy na zpracování plastů a tlakové lití kovů, 20.8.2026 19:18:42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