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767521" Type="http://schemas.openxmlformats.org/officeDocument/2006/relationships/officeDocument" Target="/word/document.xml" /><Relationship Id="coreR68767521" Type="http://schemas.openxmlformats.org/package/2006/relationships/metadata/core-properties" Target="/docProps/core.xml" /><Relationship Id="customR687675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 pro formy na zpracování plastů a tlakové lití kovů (kód: 23-009-H)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údržbu a opravy nástrojů, nářadí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potřebných nástrojů, pomůcek a pomocných hmot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funkčních zkoušek nástrojů, nářadí, přípravků a měřidel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Měření a kontrola délkových rozměrů, geometrických tvarů, vzájemné polohy prvků a jakosti povrchu s využitím měřicích a kontrolních zařízení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Tepelné zpracování drobných částí nástrojů, přípravků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Slícovávání částí nástrojů, přípravků, měřidel a pomůcek, jejich ustavování, sestavování, justáž a fixace</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Mísení vícesložkových hmot a jejich používání při výrobě a opravách nástrojů, přípravků a měřidel</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Opravování a renovace řezných a tvářecích nástrojů, nářadí, přípravků a měřidel</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Obsluha konvenčních soustruhů, vrtaček a vyvrtávaček</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2</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Obsluha frézek</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2</w:t>
      </w:r>
    </w:p>
    <w:p>
      <w:pPr>
        <w:pStyle w:val="P7"/>
        <w:framePr w:w="8788" w:h="340" w:hRule="exact" w:wrap="none" w:vAnchor="page" w:hAnchor="margin" w:x="28" w:y="13310"/>
        <w:rPr>
          <w:rStyle w:val="C8"/>
          <w:rtl w:val="0"/>
        </w:rPr>
      </w:pPr>
      <w:r>
        <w:rPr>
          <w:rStyle w:val="C8"/>
          <w:rtl w:val="0"/>
        </w:rPr>
        <w:t>Platnost standardu</w:t>
      </w:r>
    </w:p>
    <w:p>
      <w:pPr>
        <w:pStyle w:val="P20"/>
        <w:framePr w:w="4283" w:h="248" w:hRule="exact" w:wrap="none" w:vAnchor="page" w:hAnchor="margin" w:x="28" w:y="13651"/>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Nástrojař pro formy na zpracování plastů a tlakové lití kovů, 20.10.2026 13:02:42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27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http://katalog.nsp.cz/zdravotniPodminky.aspx?id_jp=102902).</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konkrétního předmětu zkoušky (nástroje, jeho části, podrobných údajů potřebných pro splnění požadavků zkoušky (tj. pro výrobu, úpravu či opravu, vysvětlení jednotlivých pracovních kroků) sdělí uchazeči autorizovaná osoba. Při výběru zadání vychází autorizovaná osoba především ze složitosti požadované práce. Požadovaný rozsah práce musí tedy být úměrný celkové době, stanovené pro trvání zkoušky. Pokud není pro ověřování kritérii jednotlivých způsobilostí stanoven rozsah činností (tj. počet kusů, druhů, variant apod.), zadá autorizovaná osoba jejich konkrétní počet, umožňující dodržení doby, vymezené pro dobu trvání celé zkoušky.</w:t>
      </w:r>
    </w:p>
    <w:p>
      <w:pPr>
        <w:pStyle w:val="P21"/>
        <w:framePr w:w="7654" w:h="331" w:hRule="exact" w:wrap="none" w:vAnchor="page" w:hAnchor="margin" w:x="28" w:y="15940"/>
        <w:rPr>
          <w:rStyle w:val="C16"/>
          <w:rtl w:val="0"/>
        </w:rPr>
      </w:pPr>
      <w:r>
        <w:rPr>
          <w:rStyle w:val="C16"/>
          <w:rtl w:val="0"/>
        </w:rPr>
        <w:t>Nástrojař pro formy na zpracování plastů a tlakové lití kovů, 20.10.2026 13:02:42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strojírenství,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VOŠ, SPŠ automobilní a technická, Č. Budějovice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Investix, a. s., Č. Budějovice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Fostron, a. s., Č. Budějovice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Strojírenská, a. s., Č. Budějovice</w:t>
      </w:r>
    </w:p>
    <w:p>
      <w:pPr>
        <w:pStyle w:val="P21"/>
        <w:framePr w:w="7654" w:h="331" w:hRule="exact" w:wrap="none" w:vAnchor="page" w:hAnchor="margin" w:x="28" w:y="15940"/>
        <w:rPr>
          <w:rStyle w:val="C16"/>
          <w:rtl w:val="0"/>
        </w:rPr>
      </w:pPr>
      <w:r>
        <w:rPr>
          <w:rStyle w:val="C16"/>
          <w:rtl w:val="0"/>
        </w:rPr>
        <w:t>Nástrojař pro formy na zpracování plastů a tlakové lití kovů, 20.10.2026 13:02:42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