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3FF5F3" Type="http://schemas.openxmlformats.org/officeDocument/2006/relationships/officeDocument" Target="/word/document.xml" /><Relationship Id="coreR7E3FF5F3" Type="http://schemas.openxmlformats.org/package/2006/relationships/metadata/core-properties" Target="/docProps/core.xml" /><Relationship Id="customR7E3FF5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formy na zpracování plastů a tlakové lití kovů (kód: 23-009-H)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údržbu a opravy nástrojů,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potřebných nástrojů, pomůcek a pomocných hmot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funkčních zkoušek nástrojů, nářadí, přípravků a měřidel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Tepelné zpracování drobných částí nástrojů, přípravků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Mísení vícesložkových hmot a jejich používání při výrobě a opravách nástrojů,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Obsluha konvenčních soustruhů, vrtaček a vyvrtávaček</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frézek</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Nástrojař pro formy na zpracování plastů a tlakové lití kovů, 7.7.2026 15:06:48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27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http://katalog.nsp.cz/zdravotniPodminky.aspx?id_jp=102902).</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konkrétního předmětu zkoušky (nástroje, jeho části, podrobných údajů potřebných pro splnění požadavků zkoušky (tj. pro výrobu, úpravu či opravu, vysvětlení jednotlivých pracovních kroků) sdělí uchazeči autorizovaná osoba. Při výběru zadání vychází autorizovaná osoba především ze složitosti požadované práce. Požadovaný rozsah práce musí tedy být úměrný celkové době, stanovené pro trvání zkoušky. Pokud není pro ověřování kritérii jednotlivých způsobilostí stanoven rozsah činností (tj. počet kusů, druhů, variant apod.), zadá autorizovaná osoba jejich konkrétní počet, umožňující dodržení doby, vymezené pro dobu trvání celé zkoušky.</w:t>
      </w:r>
    </w:p>
    <w:p>
      <w:pPr>
        <w:pStyle w:val="P21"/>
        <w:framePr w:w="7654" w:h="331" w:hRule="exact" w:wrap="none" w:vAnchor="page" w:hAnchor="margin" w:x="28" w:y="15940"/>
        <w:rPr>
          <w:rStyle w:val="C16"/>
          <w:rtl w:val="0"/>
        </w:rPr>
      </w:pPr>
      <w:r>
        <w:rPr>
          <w:rStyle w:val="C16"/>
          <w:rtl w:val="0"/>
        </w:rPr>
        <w:t>Nástrojař pro formy na zpracování plastů a tlakové lití kovů, 7.7.2026 15:06:48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SPŠ automobilní a technická, Č. Budějovice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Investix, a. s., Č. Budějovice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Fostron, a. s., Č. Budějovice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Strojírenská, a. s., Č. Budějovice</w:t>
      </w:r>
    </w:p>
    <w:p>
      <w:pPr>
        <w:pStyle w:val="P21"/>
        <w:framePr w:w="7654" w:h="331" w:hRule="exact" w:wrap="none" w:vAnchor="page" w:hAnchor="margin" w:x="28" w:y="15940"/>
        <w:rPr>
          <w:rStyle w:val="C16"/>
          <w:rtl w:val="0"/>
        </w:rPr>
      </w:pPr>
      <w:r>
        <w:rPr>
          <w:rStyle w:val="C16"/>
          <w:rtl w:val="0"/>
        </w:rPr>
        <w:t>Nástrojař pro formy na zpracování plastů a tlakové lití kovů, 7.7.2026 15:06:48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