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3AC75" Type="http://schemas.openxmlformats.org/officeDocument/2006/relationships/officeDocument" Target="/word/document.xml" /><Relationship Id="coreR1C33AC75" Type="http://schemas.openxmlformats.org/package/2006/relationships/metadata/core-properties" Target="/docProps/core.xml" /><Relationship Id="customR1C33AC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a úpravám zadaných nožířských výrobků včetně příslušenství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třískové obrábění potřebné k provedení strojních operací při výrobě, dokončení či úpravách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či úpravám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pStyle w:val="P21"/>
        <w:framePr w:w="7654" w:h="331" w:hRule="exact" w:wrap="none" w:vAnchor="page" w:hAnchor="margin" w:x="28" w:y="15940"/>
        <w:rPr>
          <w:rStyle w:val="C16"/>
          <w:rtl w:val="0"/>
        </w:rPr>
      </w:pPr>
      <w:r>
        <w:rPr>
          <w:rStyle w:val="C16"/>
          <w:rtl w:val="0"/>
        </w:rPr>
        <w:t>Nožíř, 31.7.2026 14:19:00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786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E3F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