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D30E63" Type="http://schemas.openxmlformats.org/officeDocument/2006/relationships/officeDocument" Target="/word/document.xml" /><Relationship Id="coreR4ED30E63" Type="http://schemas.openxmlformats.org/package/2006/relationships/metadata/core-properties" Target="/docProps/core.xml" /><Relationship Id="customR4ED30E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Nožíř (kód: 23-008-H)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v technických podkladech pro zhotovování, údržbu a opravy nástrojů, nářadí a výrobních pomůcek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Provádění funkčních zkoušek nožířských výrobků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Ruční obrábění a zpracovávání kovových materiálů řezáním, stříháním, pilováním, vrtáním, broušením, ohýbáním</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Úpravy a dokončování povrchů částí nástrojů a nářadí broušením a leštěním</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Jednoduché tepelné zpracování drobných částí nástrojů, přípravků</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Sestavování vícedílných zavíracích nožů, montáž střenek</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Slícovávání částí různých druhů nůžek, jejich sestavování a justáž</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Mísení vícesložkových hmot a jejich používání při výrobě a opravách nástrojů, přípravků, měřidel a pomůcek</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Opravy nožířských výrobků</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Ostření nožířských výrobků</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3</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Ošetřování a údržba běžných obráběcích strojů, nářadí, nástrojů a pomůcek</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4283" w:h="248" w:hRule="exact" w:wrap="none" w:vAnchor="page" w:hAnchor="margin" w:x="28" w:y="12000"/>
        <w:rPr>
          <w:rStyle w:val="C15"/>
          <w:rtl w:val="0"/>
        </w:rPr>
      </w:pPr>
      <w:r>
        <w:rPr>
          <w:rStyle w:val="C15"/>
          <w:rtl w:val="0"/>
        </w:rPr>
        <w:t>Standard je platný od: 29.11.2016 do: 06.12.2020</w:t>
      </w:r>
    </w:p>
    <w:p>
      <w:pPr>
        <w:pStyle w:val="P21"/>
        <w:framePr w:w="7654" w:h="331" w:hRule="exact" w:wrap="none" w:vAnchor="page" w:hAnchor="margin" w:x="28" w:y="15940"/>
        <w:rPr>
          <w:rStyle w:val="C16"/>
          <w:rtl w:val="0"/>
        </w:rPr>
      </w:pPr>
      <w:r>
        <w:rPr>
          <w:rStyle w:val="C16"/>
          <w:rtl w:val="0"/>
        </w:rPr>
        <w:t>Nožíř, 11.9.2026 20:13:54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03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http://katalog.nsp.cz/zdravotniPodminky.aspx?id_jp=102902).</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Výběr konkrétního předmětu zkoušky (nožířského výrobku či jeho části) a podrobných údajů potřebných pro splnění požadavků zkoušky (tj. výrobu, úpravu, opravu, seřízení, naostření) sdělí uchazeči autorizovaná osoba do 14 dnů po obdržení přihlášky ke zkoušce; při výběru zadání vychází zejména ze složitosti požadované práce. Požadovaný rozsah práce musí odpovídat celkové době, stanovené pro trvání zkoušky. Pokud není pro ověřování kritérii jednotlivých způsobilostí stanoven rozsah činností (tj. počet kusů, druhů, variant apod.), zadá autorizovaná osoba jejich konkrétní počet, umožňující dodržení doby, vymezené pro dobu trvání celé zkoušky.</w:t>
      </w:r>
    </w:p>
    <w:p>
      <w:pPr>
        <w:pStyle w:val="P21"/>
        <w:framePr w:w="7654" w:h="331" w:hRule="exact" w:wrap="none" w:vAnchor="page" w:hAnchor="margin" w:x="28" w:y="15940"/>
        <w:rPr>
          <w:rStyle w:val="C16"/>
          <w:rtl w:val="0"/>
        </w:rPr>
      </w:pPr>
      <w:r>
        <w:rPr>
          <w:rStyle w:val="C16"/>
          <w:rtl w:val="0"/>
        </w:rPr>
        <w:t>Nožíř, 11.9.2026 20:13:54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strojírenství,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zbrojovka, a. s., Uherský Brod</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 COPt Uherský Brod</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OSVČ - ( nožíř) David Kranz</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Nožíř, 11.9.2026 20:13:54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