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65F320" Type="http://schemas.openxmlformats.org/officeDocument/2006/relationships/officeDocument" Target="/word/document.xml" /><Relationship Id="coreR6165F320" Type="http://schemas.openxmlformats.org/package/2006/relationships/metadata/core-properties" Target="/docProps/core.xml" /><Relationship Id="customR6165F3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Nožíř, 22.10.2026 9:24:29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(nožířského výrobku či jeho části) a podrobných údajů potřebných pro splnění požadavků zkoušky (tj. výrobu, úpravu, opravu, seřízení, naostření) sdělí uchazeči autorizovaná osoba do 14 dnů po obdržení přihlášky ke zkoušce; při výběru zadání vychází zejména ze složitosti požadované práce. Požadovaný rozsah práce musí odpovídat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21"/>
        <w:framePr w:w="7654" w:h="331" w:hRule="exact" w:wrap="none" w:vAnchor="page" w:hAnchor="margin" w:x="28" w:y="15940"/>
        <w:rPr>
          <w:rStyle w:val="C16"/>
          <w:rtl w:val="0"/>
        </w:rPr>
      </w:pPr>
      <w:r>
        <w:rPr>
          <w:rStyle w:val="C16"/>
          <w:rtl w:val="0"/>
        </w:rPr>
        <w:t>Nožíř, 22.10.2026 9:24:29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 COPt Uherský Brod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 nožíř) David Kranz</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Nožíř, 22.10.2026 9:24:29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