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161E00C" Type="http://schemas.openxmlformats.org/officeDocument/2006/relationships/officeDocument" Target="/word/document.xml" /><Relationship Id="coreR7161E00C" Type="http://schemas.openxmlformats.org/package/2006/relationships/metadata/core-properties" Target="/docProps/core.xml" /><Relationship Id="customR7161E0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Rytec kovů (kód: 23-011-H)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normách, v technických a výtvarných podkladech pro provádění ryteckých prací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nástrojařských, ryteckých a nožířských operací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Přenášení výtvarných předloh pro ruční rytí na materiály a předměty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Ruční obrábění a zpracování kovových materiálů řezáním, stříháním, pilováním, vrtáním, broušením, ohýbáním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Ruční korektury štočků pérovek a autotypií pro polygrafický průmysl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Ruční rytí písmen, číslic, značek, not, ornamentů, dezénů, předloh pro pantografické frézky do kovů a nekovových materiálů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Sestavování šablon pro strojní rytí písmen, číslic, značek, ornamentů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Upínání nástrojů a obrobků a ustavování jejich polohy na pantografických frézkách s použitím různého příslušenství, upínacího nářadí, pomůcek a přípravků</w:t>
      </w:r>
    </w:p>
    <w:p>
      <w:pPr>
        <w:pStyle w:val="P18"/>
        <w:framePr w:w="805" w:h="607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Strojní rytí písmen, číslic, značek, stupnic, ornamentů, tvaru razidel, raznic, kovových razítek, pečetidel</w:t>
      </w:r>
    </w:p>
    <w:p>
      <w:pPr>
        <w:pStyle w:val="P14"/>
        <w:framePr w:w="805" w:h="376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Vlastní navrhování písem, ornamentů a prvků pro zdobení šperků, zbraní, nožů, dýk a pasířských výrobků rytím</w:t>
      </w:r>
    </w:p>
    <w:p>
      <w:pPr>
        <w:pStyle w:val="P18"/>
        <w:framePr w:w="805" w:h="376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05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13"/>
        <w:rPr>
          <w:rStyle w:val="C11"/>
          <w:rtl w:val="0"/>
        </w:rPr>
      </w:pPr>
      <w:r>
        <w:rPr>
          <w:rStyle w:val="C11"/>
          <w:rtl w:val="0"/>
        </w:rPr>
        <w:t>Ošetřování a údržba běžných obráběcích strojů, nářadí, nástrojů a pomůcek</w:t>
      </w:r>
    </w:p>
    <w:p>
      <w:pPr>
        <w:pStyle w:val="P14"/>
        <w:framePr w:w="805" w:h="376" w:hRule="exact" w:wrap="none" w:vAnchor="page" w:hAnchor="margin" w:x="9916" w:y="1105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1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66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00"/>
        <w:rPr>
          <w:rStyle w:val="C15"/>
          <w:rtl w:val="0"/>
        </w:rPr>
      </w:pPr>
      <w:r>
        <w:rPr>
          <w:rStyle w:val="C15"/>
          <w:rtl w:val="0"/>
        </w:rPr>
        <w:t>Standard je platný od: 24.11.2011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kovů, 30.9.2026 6:41:32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http://katalog.nsp.cz/karta_tp.aspx?id_jp=2193&amp;kod_sm1=37).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Povinností zkoušejícího je dbát na to, aby zkouška probíhala podle tohoto hodnotícího standardu.</w:t>
      </w:r>
    </w:p>
    <w:p>
      <w:pPr>
        <w:keepNext w:val="0"/>
        <w:keepLines w:val="0"/>
        <w:framePr w:w="10766" w:h="22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kovů, 30.9.2026 6:41:32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Rytec kovů, 30.9.2026 6:41:32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