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3D3D57" Type="http://schemas.openxmlformats.org/officeDocument/2006/relationships/officeDocument" Target="/word/document.xml" /><Relationship Id="coreR773D3D57" Type="http://schemas.openxmlformats.org/package/2006/relationships/metadata/core-properties" Target="/docProps/core.xml" /><Relationship Id="customR773D3D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Frézování kovových materiálů (kód: 23-023-H)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Obráběč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frézování, hoblování, protahování a obrážení, potřebných nástrojů, pomůcek a materiálů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Upínání nástrojů, polotovarů a obrobků a ustavování jejich polohy na různých druzích frézek, hoblovek, obrážeček a protahovaček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frézek, hoblovek, obrážeček a protahovaček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Ošetřování a údržba frézek, hoblovek, obrážeček a protahovaček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Určování výchozích technologických základen polotovarů před jejich obráběním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29.11.2016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http://katalog.nsp.cz/zdravotniPodminky.aspx?id_jp=102903).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stanoven rozsah, tj. počet kusů opracovávaných materiálů, stanoví autorizovaná osoba konkrétní rozsah tak, aby nebyla překročena celková doba trvání vlastní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Investix,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Fostron,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Strojírenská,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Frézování kovových materiálů, 20.10.2026 11:48:05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