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28AD9" Type="http://schemas.openxmlformats.org/officeDocument/2006/relationships/officeDocument" Target="/word/document.xml" /><Relationship Id="coreR3F528AD9" Type="http://schemas.openxmlformats.org/package/2006/relationships/metadata/core-properties" Target="/docProps/core.xml" /><Relationship Id="customR3F528A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160"/>
        <w:rPr>
          <w:rStyle w:val="C3"/>
          <w:rtl w:val="0"/>
        </w:rPr>
      </w:pPr>
    </w:p>
    <w:p>
      <w:pPr>
        <w:pStyle w:val="P17"/>
        <w:framePr w:w="6658" w:h="704" w:hRule="exact" w:wrap="none" w:vAnchor="page" w:hAnchor="margin" w:x="71" w:y="11216"/>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1160"/>
        <w:rPr>
          <w:rStyle w:val="C3"/>
          <w:rtl w:val="0"/>
        </w:rPr>
      </w:pPr>
    </w:p>
    <w:p>
      <w:pPr>
        <w:pStyle w:val="P31"/>
        <w:framePr w:w="3839" w:h="704" w:hRule="exact" w:wrap="none" w:vAnchor="page" w:hAnchor="margin" w:x="6856" w:y="11216"/>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orovnávací kámen, diamantový orovnávač</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103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Broušení kovových materiálů, 31.7.2026 15:56:53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C2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C8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