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5EB590" Type="http://schemas.openxmlformats.org/officeDocument/2006/relationships/officeDocument" Target="/word/document.xml" /><Relationship Id="coreR555EB590" Type="http://schemas.openxmlformats.org/package/2006/relationships/metadata/core-properties" Target="/docProps/core.xml" /><Relationship Id="customR555EB59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porážky, jatečného opracování a porcování králíků (kód: 29-006-E)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porážky, jatečné úpravy a porcování králíků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Přeprava králíků na porážku a přísun k lince na zpracování králíků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Omračování králíků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Navěšování a vykrvování králíků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Stahování králíků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Kuchání králíků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Vychlazování králičího masa a drobů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Porcování a balení králíků, králičích dílů a drobů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králíků a králičích dílů a drobů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Ošetření a skladování vedlejších jatečných produktů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strojního a technologického vybavení provozu zpracování králíků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20.10.2026 13:08:41</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441"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poražení, jatečnému opracování a porcování králíků s využitím technologických postupů a hygienických zásad zacházení s králičím masem.</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všech kompetencí se provádí v reálném provozu, tzn. na porážecí lince, jejímuž tempu musí uchazeč vyhovět. Při času vymezeném pro zkoušku (min. 2 h) vychází průměrně 10 minut na ověření jedné kompetence, což je dostačující doba provádění technologické operace pro ověření získaných dovedností.</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20.10.2026 13:08:41</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20.10.2026 13:08:41</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