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D0A12A" Type="http://schemas.openxmlformats.org/officeDocument/2006/relationships/officeDocument" Target="/word/document.xml" /><Relationship Id="coreR48D0A12A" Type="http://schemas.openxmlformats.org/package/2006/relationships/metadata/core-properties" Target="/docProps/core.xml" /><Relationship Id="customR48D0A1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Porážení, jatečné opracování a porcování králíků, 20.10.2026 13:02:28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1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jatečnému opracování a porcování králíků s využitím technologických postupů a hygienických zásad zacházení s králičím masem.</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21"/>
        <w:framePr w:w="7654" w:h="331" w:hRule="exact" w:wrap="none" w:vAnchor="page" w:hAnchor="margin" w:x="28" w:y="15940"/>
        <w:rPr>
          <w:rStyle w:val="C16"/>
          <w:rtl w:val="0"/>
        </w:rPr>
      </w:pPr>
      <w:r>
        <w:rPr>
          <w:rStyle w:val="C16"/>
          <w:rtl w:val="0"/>
        </w:rPr>
        <w:t>Porážení, jatečné opracování a porcování králíků, 20.10.2026 13:02:28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5"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Porážení, jatečné opracování a porcování králíků, 20.10.2026 13:02:28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