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FD7CE" Type="http://schemas.openxmlformats.org/officeDocument/2006/relationships/officeDocument" Target="/word/document.xml" /><Relationship Id="coreR503FD7CE" Type="http://schemas.openxmlformats.org/package/2006/relationships/metadata/core-properties" Target="/docProps/core.xml" /><Relationship Id="customR503FD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06.02.2012 do: 28.06.2019</w:t>
      </w:r>
    </w:p>
    <w:p>
      <w:pPr>
        <w:pStyle w:val="P21"/>
        <w:framePr w:w="7654" w:h="331" w:hRule="exact" w:wrap="none" w:vAnchor="page" w:hAnchor="margin" w:x="28" w:y="15940"/>
        <w:rPr>
          <w:rStyle w:val="C16"/>
          <w:rtl w:val="0"/>
        </w:rPr>
      </w:pPr>
      <w:r>
        <w:rPr>
          <w:rStyle w:val="C16"/>
          <w:rtl w:val="0"/>
        </w:rPr>
        <w:t>Stavitel podzemní hrobky, 15.4.2026 17:47:27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hrobového místo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okolní komunikace,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Právně administrativně vyhodnotit smluvní vztahy ke stavbě (ověřit, že objednavatel má k danému místu nájemní smlouvu, povolení k vjezdu, souhlas provozovatele pohřebiště se stavbou)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základní pravidla bezpečnosti práce na staveništi, např. podle vzorového řádu pohřebiště MMR (nelze vyloučit pohyb veřejnosti)</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projektové přípravě a dokumentaci ke stavbě podzemní hrobky</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Vytvořit zadání pro projektovou dokumentaci ke stavbě hrobky (např. tvar hrobky a odvětrávání, typ terénu a půdy, prostoru hrobky pro požadovaný počet rakví, výkopu pro požadovaný počet rakví)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1055" w:hRule="exact" w:wrap="none" w:vAnchor="page" w:hAnchor="margin" w:x="45" w:y="8981"/>
        <w:rPr>
          <w:rStyle w:val="C3"/>
          <w:rtl w:val="0"/>
        </w:rPr>
      </w:pPr>
    </w:p>
    <w:p>
      <w:pPr>
        <w:pStyle w:val="P17"/>
        <w:framePr w:w="6658" w:h="928" w:hRule="exact" w:wrap="none" w:vAnchor="page" w:hAnchor="margin" w:x="71" w:y="9037"/>
        <w:rPr>
          <w:rStyle w:val="C13"/>
          <w:rtl w:val="0"/>
        </w:rPr>
      </w:pPr>
      <w:r>
        <w:rPr>
          <w:rStyle w:val="C13"/>
          <w:rtl w:val="0"/>
        </w:rPr>
        <w:t>b) Navrhnout materiály a hlavní konstrukční prvky včetně požadavků pro osazení hrobky hrobovým zařízením kamenickou firmou (základové pasy, beton, výztuže, betonové tvárnice) na základě předloženého statického výpočtu</w:t>
      </w:r>
    </w:p>
    <w:p>
      <w:pPr>
        <w:pStyle w:val="P30"/>
        <w:framePr w:w="3921" w:h="1055" w:hRule="exact" w:wrap="none" w:vAnchor="page" w:hAnchor="margin" w:x="6800" w:y="8981"/>
        <w:rPr>
          <w:rStyle w:val="C3"/>
          <w:rtl w:val="0"/>
        </w:rPr>
      </w:pPr>
    </w:p>
    <w:p>
      <w:pPr>
        <w:pStyle w:val="P31"/>
        <w:framePr w:w="3839" w:h="928" w:hRule="exact" w:wrap="none" w:vAnchor="page" w:hAnchor="margin" w:x="6856" w:y="9037"/>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Respektovat zvláštní požadavky provozovatele pohřebiště podle řádu pohřebiště</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Zhotovit jednoduchý rozpočet stavby (ceny stavebních materiálů a stavebních prací, přesunu hmot)</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Zhotovování podzemní hrobky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Provést výkopové práce (použití vhodných nástrojů, ochranné pomůcky apod.)</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4053"/>
        <w:rPr>
          <w:rStyle w:val="C3"/>
          <w:rtl w:val="0"/>
        </w:rPr>
      </w:pPr>
    </w:p>
    <w:p>
      <w:pPr>
        <w:pStyle w:val="P13"/>
        <w:framePr w:w="6658" w:h="480" w:hRule="exact" w:wrap="none" w:vAnchor="page" w:hAnchor="margin" w:x="71" w:y="14109"/>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4053"/>
        <w:rPr>
          <w:rStyle w:val="C3"/>
          <w:rtl w:val="0"/>
        </w:rPr>
      </w:pPr>
    </w:p>
    <w:p>
      <w:pPr>
        <w:pStyle w:val="P29"/>
        <w:framePr w:w="3839" w:h="480" w:hRule="exact" w:wrap="none" w:vAnchor="page" w:hAnchor="margin" w:x="6856" w:y="14109"/>
        <w:rPr>
          <w:rStyle w:val="C21"/>
          <w:rtl w:val="0"/>
        </w:rPr>
      </w:pPr>
      <w:r>
        <w:rPr>
          <w:rStyle w:val="C21"/>
          <w:rtl w:val="0"/>
        </w:rPr>
        <w:t>Praktické předvedení</w:t>
      </w:r>
    </w:p>
    <w:p>
      <w:pPr>
        <w:pStyle w:val="P16"/>
        <w:framePr w:w="6710" w:h="607" w:hRule="exact" w:wrap="none" w:vAnchor="page" w:hAnchor="margin" w:x="45" w:y="14660"/>
        <w:rPr>
          <w:rStyle w:val="C3"/>
          <w:rtl w:val="0"/>
        </w:rPr>
      </w:pPr>
    </w:p>
    <w:p>
      <w:pPr>
        <w:pStyle w:val="P17"/>
        <w:framePr w:w="6658" w:h="480" w:hRule="exact" w:wrap="none" w:vAnchor="page" w:hAnchor="margin" w:x="71" w:y="14716"/>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4660"/>
        <w:rPr>
          <w:rStyle w:val="C3"/>
          <w:rtl w:val="0"/>
        </w:rPr>
      </w:pPr>
    </w:p>
    <w:p>
      <w:pPr>
        <w:pStyle w:val="P31"/>
        <w:framePr w:w="3839" w:h="480" w:hRule="exact" w:wrap="none" w:vAnchor="page" w:hAnchor="margin" w:x="6856" w:y="14716"/>
        <w:rPr>
          <w:rStyle w:val="C22"/>
          <w:rtl w:val="0"/>
        </w:rPr>
      </w:pPr>
      <w:r>
        <w:rPr>
          <w:rStyle w:val="C22"/>
          <w:rtl w:val="0"/>
        </w:rPr>
        <w:t>Praktické předvedení</w:t>
      </w:r>
    </w:p>
    <w:p>
      <w:pPr>
        <w:pStyle w:val="P32"/>
        <w:framePr w:w="10710" w:h="248" w:hRule="exact" w:wrap="none" w:vAnchor="page" w:hAnchor="margin" w:x="28" w:y="15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15.4.2026 17:47:27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bez nutnosti demontáže hrobového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Protokolárně předat stavbu včetně souhlasu provozovatele pohřebiště tuto stavbu užívat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15.4.2026 17:47:27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80"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stavebního směru</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technického směru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osvědčení o získání dílčí kvalifikace stavitel podzemní hrobky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řídících činnostech v oblasti správy veřejného pohřebiště, z toho minimálně jeden rok v období posledních dvou let před podáním žádosti o udělení autorizace.</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Stavitel podzemní hrobky, 15.4.2026 17:47:27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50"/>
        <w:rPr>
          <w:rStyle w:val="C3"/>
          <w:rtl w:val="0"/>
        </w:rPr>
      </w:pPr>
    </w:p>
    <w:p>
      <w:pPr>
        <w:pStyle w:val="P35"/>
        <w:framePr w:w="10710" w:h="340" w:hRule="exact" w:wrap="none" w:vAnchor="page" w:hAnchor="margin" w:x="28" w:y="5850"/>
        <w:rPr>
          <w:rStyle w:val="C25"/>
          <w:rtl w:val="0"/>
        </w:rPr>
      </w:pPr>
      <w:r>
        <w:rPr>
          <w:rStyle w:val="C25"/>
          <w:rtl w:val="0"/>
        </w:rPr>
        <w:t>Doba přípravy na zkoušku</w:t>
      </w:r>
    </w:p>
    <w:p>
      <w:pPr>
        <w:keepNext w:val="0"/>
        <w:keepLines w:val="0"/>
        <w:framePr w:w="10766" w:h="806" w:hRule="exact" w:wrap="none" w:vAnchor="page" w:hAnchor="margin" w:x="0" w:y="6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7223"/>
        <w:rPr>
          <w:rStyle w:val="C3"/>
          <w:rtl w:val="0"/>
        </w:rPr>
      </w:pPr>
    </w:p>
    <w:p>
      <w:pPr>
        <w:pStyle w:val="P35"/>
        <w:framePr w:w="10710" w:h="340" w:hRule="exact" w:wrap="none" w:vAnchor="page" w:hAnchor="margin" w:x="28" w:y="7223"/>
        <w:rPr>
          <w:rStyle w:val="C25"/>
          <w:rtl w:val="0"/>
        </w:rPr>
      </w:pPr>
      <w:r>
        <w:rPr>
          <w:rStyle w:val="C25"/>
          <w:rtl w:val="0"/>
        </w:rPr>
        <w:t>Doba pro vykonání zkoušky</w:t>
      </w:r>
    </w:p>
    <w:p>
      <w:pPr>
        <w:keepNext w:val="0"/>
        <w:keepLines w:val="0"/>
        <w:framePr w:w="10766" w:h="806" w:hRule="exact" w:wrap="none" w:vAnchor="page" w:hAnchor="margin" w:x="0" w:y="7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Stavitel podzemní hrobky, 15.4.2026 17:47:27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 občanské sdružení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pStyle w:val="P21"/>
        <w:framePr w:w="7654" w:h="331" w:hRule="exact" w:wrap="none" w:vAnchor="page" w:hAnchor="margin" w:x="28" w:y="15940"/>
        <w:rPr>
          <w:rStyle w:val="C16"/>
          <w:rtl w:val="0"/>
        </w:rPr>
      </w:pPr>
      <w:r>
        <w:rPr>
          <w:rStyle w:val="C16"/>
          <w:rtl w:val="0"/>
        </w:rPr>
        <w:t>Stavitel podzemní hrobky, 15.4.2026 17:47:27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