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26E2E" Type="http://schemas.openxmlformats.org/officeDocument/2006/relationships/officeDocument" Target="/word/document.xml" /><Relationship Id="coreR31F26E2E" Type="http://schemas.openxmlformats.org/package/2006/relationships/metadata/core-properties" Target="/docProps/core.xml" /><Relationship Id="customR31F26E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Výrobce kovových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08.02.2012 do: 05.04.2019</w:t>
      </w:r>
    </w:p>
    <w:p>
      <w:pPr>
        <w:pStyle w:val="P21"/>
        <w:framePr w:w="7654" w:h="331" w:hRule="exact" w:wrap="none" w:vAnchor="page" w:hAnchor="margin" w:x="28" w:y="15940"/>
        <w:rPr>
          <w:rStyle w:val="C16"/>
          <w:rtl w:val="0"/>
        </w:rPr>
      </w:pPr>
      <w:r>
        <w:rPr>
          <w:rStyle w:val="C16"/>
          <w:rtl w:val="0"/>
        </w:rPr>
        <w:t>Výrobce kovových forem, 17.6.2026 14:47:39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Zjistit, zda referenční vzorek odpovídá parametrům daných předloženým technickým výkresem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Volba postupu práce a technologických podmínek při výrobě sklářských forem</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Popsat vybavení formařské dílny, zdůvodnit nutnost dodržování zásad BOZP ve formárně, zejména s přihlédnutím ke specifickým požadavkům na práci s elektrickým nářadím</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Posuzování kvality surovin a hodnot parametrů při výrobě sklářských forem</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1055" w:hRule="exact" w:wrap="none" w:vAnchor="page" w:hAnchor="margin" w:x="45" w:y="9891"/>
        <w:rPr>
          <w:rStyle w:val="C3"/>
          <w:rtl w:val="0"/>
        </w:rPr>
      </w:pPr>
    </w:p>
    <w:p>
      <w:pPr>
        <w:pStyle w:val="P13"/>
        <w:framePr w:w="6658" w:h="928" w:hRule="exact" w:wrap="none" w:vAnchor="page" w:hAnchor="margin" w:x="71" w:y="9947"/>
        <w:rPr>
          <w:rStyle w:val="C11"/>
          <w:rtl w:val="0"/>
        </w:rPr>
      </w:pPr>
      <w:r>
        <w:rPr>
          <w:rStyle w:val="C11"/>
          <w:rtl w:val="0"/>
        </w:rPr>
        <w:t>a) Určit, zda předložený výrobek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9891"/>
        <w:rPr>
          <w:rStyle w:val="C3"/>
          <w:rtl w:val="0"/>
        </w:rPr>
      </w:pPr>
    </w:p>
    <w:p>
      <w:pPr>
        <w:pStyle w:val="P29"/>
        <w:framePr w:w="3839" w:h="928"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Provést vizuální kontrolu a měření předepsaných rozměrů u předložené sklářské formy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kovových forem, 17.6.2026 14:47:39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kovových forem, 17.6.2026 14:47:39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http://katalog.nsp.cz/karta_tp.aspx?id_jp=101114&amp;kod_sm1=35).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kompetence Výroba sklářských forem potřebuje uchazeč svářečský průkaz. Před zahájením zkoušky uchazeč tento průkaz předloží.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kovových forem, 17.6.2026 14:47:39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zámečník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Formařská dílna, která je vybavena potřebnými frézkami, soustruhy, bruskami, sloupovou otočnou vrtačkou, horizontkou, pilou, komorovou žíhací pecí, pískovací kabinou a elektroerosivním zařízením, CNC soustruhy, CNC frézkou, měřidly, svářecím agregátem, přídavnými elektrodami</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Žárupevná ocel ‒ tř. 17; soustružnické nože, frézy, brusné kotouče, řezná kapalina na chlazení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kovových forem, 17.6.2026 14:47:39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kovových forem, 17.6.2026 14:47:39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kovových forem, 17.6.2026 14:47:39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