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41BE04" Type="http://schemas.openxmlformats.org/officeDocument/2006/relationships/officeDocument" Target="/word/document.xml" /><Relationship Id="coreR4A41BE04" Type="http://schemas.openxmlformats.org/package/2006/relationships/metadata/core-properties" Target="/docProps/core.xml" /><Relationship Id="customR4A41BE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pohřebiště (kód: 69-019-M)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veřejného pohřebiště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Definování veřejného pohřebiště, jeho zřízení a vymezení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Definování pohřbívání, exhumace a nakládání se zpopelněnými ostatky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Vymezení náležitostí Řádu veřejného pohřebiště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Užívání hrobového místa na veřejném pohřebišti a přechod nájmu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Skončení nájmu hrobového místa a vyklizení od hrobového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předepsané evidence veřejného pohřebiště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Oceňování nájmu hrobových míst a služeb na veřejném pohřebišti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Administrátor/administrátorka pohřebiště, 15.4.2026 14:09:42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Definování veřejného pohřebiště, jeho zřízení a vymezení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pojem veřejného pohřebiště a uvést, čím se odlišuje od pohřebiště neveřejného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kdo může zřídit a provozovat veřejné pohřebiště, a uvést základní požadavky na jeho provozování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kdy lze na veřejném pohřebišti vydat zákaz pohřbívání, případně pohřebiště zrušit a jaké podmínky je třeba dodržet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jaké činnosti do provozování pohřebiště patří a jak je lze zajistit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Definování pohřbívání, exhumace a nakládání se zpopelněnými ostatky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Definovat pojem pohřbení a vyjmenovat základní podmínky pro pohřbení do hrobu a hrobky na pohřebišti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Vysvětlit, kdo smí provádět výkopové práce pro pohřbení a vlastní pohřbení na pohřebišti a za jakých podmínek</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Definovat pojem exhumace, vyjmenovat zákonné podmínky pro její povolení a místní předpisy regulující její provedení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Ústní ověření</w:t>
      </w:r>
    </w:p>
    <w:p>
      <w:pPr>
        <w:pStyle w:val="P16"/>
        <w:framePr w:w="6710" w:h="831" w:hRule="exact" w:wrap="none" w:vAnchor="page" w:hAnchor="margin" w:x="45" w:y="9140"/>
        <w:rPr>
          <w:rStyle w:val="C3"/>
          <w:rtl w:val="0"/>
        </w:rPr>
      </w:pPr>
    </w:p>
    <w:p>
      <w:pPr>
        <w:pStyle w:val="P17"/>
        <w:framePr w:w="6658" w:h="704" w:hRule="exact" w:wrap="none" w:vAnchor="page" w:hAnchor="margin" w:x="71" w:y="9196"/>
        <w:rPr>
          <w:rStyle w:val="C13"/>
          <w:rtl w:val="0"/>
        </w:rPr>
      </w:pPr>
      <w:r>
        <w:rPr>
          <w:rStyle w:val="C13"/>
          <w:rtl w:val="0"/>
        </w:rPr>
        <w:t>d) Popsat způsoby nakládání se zpopelněnými ostatky a možnosti jejich uložení na pohřebišti a uvést oprávněné osoby, které mohou tyto úkony vykonávat</w:t>
      </w:r>
    </w:p>
    <w:p>
      <w:pPr>
        <w:pStyle w:val="P30"/>
        <w:framePr w:w="3921" w:h="831" w:hRule="exact" w:wrap="none" w:vAnchor="page" w:hAnchor="margin" w:x="6800" w:y="9140"/>
        <w:rPr>
          <w:rStyle w:val="C3"/>
          <w:rtl w:val="0"/>
        </w:rPr>
      </w:pPr>
    </w:p>
    <w:p>
      <w:pPr>
        <w:pStyle w:val="P31"/>
        <w:framePr w:w="3839" w:h="704" w:hRule="exact" w:wrap="none" w:vAnchor="page" w:hAnchor="margin" w:x="6856" w:y="9196"/>
        <w:rPr>
          <w:rStyle w:val="C22"/>
          <w:rtl w:val="0"/>
        </w:rPr>
      </w:pPr>
      <w:r>
        <w:rPr>
          <w:rStyle w:val="C22"/>
          <w:rtl w:val="0"/>
        </w:rPr>
        <w:t>Ústní ověření</w:t>
      </w:r>
    </w:p>
    <w:p>
      <w:pPr>
        <w:pStyle w:val="P32"/>
        <w:framePr w:w="10710" w:h="248" w:hRule="exact" w:wrap="none" w:vAnchor="page" w:hAnchor="margin" w:x="28" w:y="10084"/>
        <w:rPr>
          <w:rStyle w:val="C23"/>
          <w:rtl w:val="0"/>
        </w:rPr>
      </w:pPr>
      <w:r>
        <w:rPr>
          <w:rStyle w:val="C23"/>
          <w:rtl w:val="0"/>
        </w:rPr>
        <w:t>Je třeba splnit všechna kritéria.</w:t>
      </w:r>
    </w:p>
    <w:p>
      <w:pPr>
        <w:pStyle w:val="P23"/>
        <w:framePr w:w="10710" w:h="340" w:hRule="exact" w:wrap="none" w:vAnchor="page" w:hAnchor="margin" w:x="28" w:y="10520"/>
        <w:rPr>
          <w:rStyle w:val="C18"/>
          <w:rtl w:val="0"/>
        </w:rPr>
      </w:pPr>
      <w:r>
        <w:rPr>
          <w:rStyle w:val="C18"/>
          <w:rtl w:val="0"/>
        </w:rPr>
        <w:t>Vymezení náležitostí Řádu veřejného pohřebiště</w:t>
      </w:r>
    </w:p>
    <w:p>
      <w:pPr>
        <w:pStyle w:val="P24"/>
        <w:framePr w:w="6713" w:h="376" w:hRule="exact" w:wrap="none" w:vAnchor="page" w:hAnchor="margin" w:x="45" w:y="10959"/>
        <w:rPr>
          <w:rStyle w:val="C3"/>
          <w:rtl w:val="0"/>
        </w:rPr>
      </w:pPr>
    </w:p>
    <w:p>
      <w:pPr>
        <w:pStyle w:val="P25"/>
        <w:framePr w:w="6661" w:h="249" w:hRule="exact" w:wrap="none" w:vAnchor="page" w:hAnchor="margin" w:x="71" w:y="11030"/>
        <w:rPr>
          <w:rStyle w:val="C19"/>
          <w:rtl w:val="0"/>
        </w:rPr>
      </w:pPr>
      <w:r>
        <w:rPr>
          <w:rStyle w:val="C19"/>
          <w:rtl w:val="0"/>
        </w:rPr>
        <w:t>Kritéria hodnocení</w:t>
      </w:r>
    </w:p>
    <w:p>
      <w:pPr>
        <w:pStyle w:val="P26"/>
        <w:framePr w:w="3918" w:h="376" w:hRule="exact" w:wrap="none" w:vAnchor="page" w:hAnchor="margin" w:x="6803" w:y="10959"/>
        <w:rPr>
          <w:rStyle w:val="C3"/>
          <w:rtl w:val="0"/>
        </w:rPr>
      </w:pPr>
    </w:p>
    <w:p>
      <w:pPr>
        <w:pStyle w:val="P27"/>
        <w:framePr w:w="3836" w:h="249" w:hRule="exact" w:wrap="none" w:vAnchor="page" w:hAnchor="margin" w:x="6859" w:y="11030"/>
        <w:rPr>
          <w:rStyle w:val="C20"/>
          <w:rtl w:val="0"/>
        </w:rPr>
      </w:pPr>
      <w:r>
        <w:rPr>
          <w:rStyle w:val="C20"/>
          <w:rtl w:val="0"/>
        </w:rPr>
        <w:t>Způsoby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a) Vysvětlit základní náležitosti Řádu veřejného pohřebiště, způsob vyhlášení a místo jeho zveřejnění</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Ústní ověření</w:t>
      </w:r>
    </w:p>
    <w:p>
      <w:pPr>
        <w:pStyle w:val="P16"/>
        <w:framePr w:w="6710" w:h="376" w:hRule="exact" w:wrap="none" w:vAnchor="page" w:hAnchor="margin" w:x="45" w:y="11942"/>
        <w:rPr>
          <w:rStyle w:val="C3"/>
          <w:rtl w:val="0"/>
        </w:rPr>
      </w:pPr>
    </w:p>
    <w:p>
      <w:pPr>
        <w:pStyle w:val="P17"/>
        <w:framePr w:w="6658" w:h="249" w:hRule="exact" w:wrap="none" w:vAnchor="page" w:hAnchor="margin" w:x="71" w:y="11998"/>
        <w:rPr>
          <w:rStyle w:val="C13"/>
          <w:rtl w:val="0"/>
        </w:rPr>
      </w:pPr>
      <w:r>
        <w:rPr>
          <w:rStyle w:val="C13"/>
          <w:rtl w:val="0"/>
        </w:rPr>
        <w:t>b) Vytvořit komplexní návrh Řádu veřejného pohřebiště podle zadání</w:t>
      </w:r>
    </w:p>
    <w:p>
      <w:pPr>
        <w:pStyle w:val="P30"/>
        <w:framePr w:w="3921" w:h="376" w:hRule="exact" w:wrap="none" w:vAnchor="page" w:hAnchor="margin" w:x="6800" w:y="11942"/>
        <w:rPr>
          <w:rStyle w:val="C3"/>
          <w:rtl w:val="0"/>
        </w:rPr>
      </w:pPr>
    </w:p>
    <w:p>
      <w:pPr>
        <w:pStyle w:val="P31"/>
        <w:framePr w:w="3839" w:h="249" w:hRule="exact" w:wrap="none" w:vAnchor="page" w:hAnchor="margin" w:x="6856" w:y="11998"/>
        <w:rPr>
          <w:rStyle w:val="C22"/>
          <w:rtl w:val="0"/>
        </w:rPr>
      </w:pPr>
      <w:r>
        <w:rPr>
          <w:rStyle w:val="C22"/>
          <w:rtl w:val="0"/>
        </w:rPr>
        <w:t>Praktické předvedení</w:t>
      </w:r>
    </w:p>
    <w:p>
      <w:pPr>
        <w:pStyle w:val="P32"/>
        <w:framePr w:w="10710" w:h="248" w:hRule="exact" w:wrap="none" w:vAnchor="page" w:hAnchor="margin" w:x="28" w:y="12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Administrátor/administrátorka pohřebiště, 15.4.2026 14:09:42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Užívání hrobového místa na veřejném pohřebišti a přechod nájmu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pojem hrobové místo a popsat jeho jednotlivé druhy, včetně účelu 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Vymezit základní náležitosti smlouvy o nájmu hrobového místa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komplexní návrh smlouvy o nájmu hrobového místa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varianty přechodu nájmu hrobového místa a vlastnictví hrobového zařízení na dědice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 užívání hrobového místa a možné zásahy provozovatele do něj během doby trvání nájmu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Skončení nájmu hrobového místa a vyklizení od hrobového zařízení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Vyjmenovat důvody skončení nájmu hrobového místa a povinnosti provozovatele před skončením dosavadní doby nájmu a uvést, za jakých podmínek lze žádost nájemce o obnovu smlouvy o nájmu odmítnout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Vysvětlit povinnosti nájemce při skončení nájmu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Uvést možnosti nakládaní s hrobovým zařízením po skončení nájmu a základní podmínky pro označení věci jako opuštěné</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předepsané evidence veřejného pohřebiště</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Uvést základní právní normy pro shromažďování a zpracovávání osobních údajů pro evidenci pohřebiště</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Vyjmenovat povinné údaje uvedené v evidenci k jednotlivým hrobovým místům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Uvést možné formy a rozsah vedení evidence související s provozováním veřejného pohřebiště a zdůvodnit výhody svázané knihy</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d) Orientovat se ve schematickém plánu pohřebiště ve vazbě na evidenci veřejného pohřebiště</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Praktické předvedení a ústní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e) Vyjmenovat kritéria pro výběr vhodné hřbitovní knihy a vhodného softwaru pro vedení evidence související s provozováním veřejného pohřebiště</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f) Uvést účelné doby archivace písemností souvisejících s provozováním veřejného pohřebiště, včetně skartačních lhůt</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pohřebiště, 15.4.2026 14:09:42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nájmu hrobových míst a služeb na veřejném pohřebišti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předpisy, na jejichž základě musí provozovatel pohřebiště regulovat ceny nájmu hrobových míst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stanoví cenu,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princip regulace cen, její druhy, kdo je stanoví a jak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rozsah regulace cen v pohřebnictví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Vytvořit nařízení obce o stanovení maximální ceny služeb spojených s nájmem hrobového místa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pohřebiště, 15.4.2026 14:09:42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Vymezení náležitosti řádu veřejného pohřebiště, kritérium b); Užívání hrobového místa na veřejném pohřebišti a přechod nájmu, kritérium c) autorizovaná osoba připraví jedno zadání, na jehož základě uchazeč splní daná kritéria.</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pohřebiště, 15.4.2026 14:09:42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veřejného pohřebiště.</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69-019-M Administrátor/administrátorka pohřebiště a alespoň 5 let odborné praxe v oblasti provozování veřejného pohřebiště.</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285"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•schematický plán hřbitova,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Řádu veřejného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smlouvy o nájmu hrobového místa,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•platné znění zákona č. 256/2001 Sb., o pohřebnictví a o změně některých zákonů v elektronické podobě nebo tištěné podobě, který je k dispozici uchazeči po celou dobu zkoušky. V případě tištěné podoby je potřeba, aby počet výtisků odpovídal počtu uchazečů o zkoušku.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806"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Administrátor/administrátorka pohřebiště, 15.4.2026 14:09:42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Administrátor/administrátorka pohřebiště, 15.4.2026 14:09:42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pohřebiště, 15.4.2026 14:09:42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DC4B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8156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12A7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