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0732C9" Type="http://schemas.openxmlformats.org/officeDocument/2006/relationships/officeDocument" Target="/word/document.xml" /><Relationship Id="coreR2F0732C9" Type="http://schemas.openxmlformats.org/package/2006/relationships/metadata/core-properties" Target="/docProps/core.xml" /><Relationship Id="customR2F0732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pohřebiště (kód: 69-019-M)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veřejného pohřebiště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Definování veřejného pohřebiště, jeho zřízení a vymezení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Definování pohřbívání, exhumace a nakládání se zpopelněnými ostatky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Vymezení náležitostí Řádu veřejného pohřebiště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Užívání hrobového místa na veřejném pohřebišti a přechod nájmu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Skončení nájmu hrobového místa a vyklizení od hrobového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předepsané evidence veřejného pohřebiště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Oceňování nájmu hrobových míst a služeb na veřejném pohřebišti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Definování veřejného pohřebiště, jeho zřízení a vymezení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pojem veřejného pohřebiště a uvést, čím se odlišuje od pohřebiště neveřejného</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kdo může zřídit a provozovat veřejné pohřebiště, a uvést základní požadavky na jeho provozování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kdy lze na veřejném pohřebišti vydat zákaz pohřbívání, případně pohřebiště zrušit a jaké podmínky je třeba dodržet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jaké činnosti do provozování pohřebiště patří a jak je lze zajistit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Definování pohřbívání, exhumace a nakládání se zpopelněnými ostatky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Definovat pojem pohřbení a vyjmenovat základní podmínky pro pohřbení do hrobu a hrobky na pohřebišti</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Vysvětlit, kdo smí provádět výkopové práce pro pohřbení a vlastní pohřbení na pohřebišti a za jakých podmínek</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Ústní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Definovat pojem exhumace, vyjmenovat zákonné podmínky pro její povolení a místní předpisy regulující její provedení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Ústní ověření</w:t>
      </w:r>
    </w:p>
    <w:p>
      <w:pPr>
        <w:pStyle w:val="P16"/>
        <w:framePr w:w="6710" w:h="831" w:hRule="exact" w:wrap="none" w:vAnchor="page" w:hAnchor="margin" w:x="45" w:y="9140"/>
        <w:rPr>
          <w:rStyle w:val="C3"/>
          <w:rtl w:val="0"/>
        </w:rPr>
      </w:pPr>
    </w:p>
    <w:p>
      <w:pPr>
        <w:pStyle w:val="P17"/>
        <w:framePr w:w="6658" w:h="704" w:hRule="exact" w:wrap="none" w:vAnchor="page" w:hAnchor="margin" w:x="71" w:y="9196"/>
        <w:rPr>
          <w:rStyle w:val="C13"/>
          <w:rtl w:val="0"/>
        </w:rPr>
      </w:pPr>
      <w:r>
        <w:rPr>
          <w:rStyle w:val="C13"/>
          <w:rtl w:val="0"/>
        </w:rPr>
        <w:t>d) Popsat způsoby nakládání se zpopelněnými ostatky a možnosti jejich uložení na pohřebišti a uvést oprávněné osoby, které mohou tyto úkony vykonávat</w:t>
      </w:r>
    </w:p>
    <w:p>
      <w:pPr>
        <w:pStyle w:val="P30"/>
        <w:framePr w:w="3921" w:h="831" w:hRule="exact" w:wrap="none" w:vAnchor="page" w:hAnchor="margin" w:x="6800" w:y="9140"/>
        <w:rPr>
          <w:rStyle w:val="C3"/>
          <w:rtl w:val="0"/>
        </w:rPr>
      </w:pPr>
    </w:p>
    <w:p>
      <w:pPr>
        <w:pStyle w:val="P31"/>
        <w:framePr w:w="3839" w:h="704" w:hRule="exact" w:wrap="none" w:vAnchor="page" w:hAnchor="margin" w:x="6856" w:y="9196"/>
        <w:rPr>
          <w:rStyle w:val="C22"/>
          <w:rtl w:val="0"/>
        </w:rPr>
      </w:pPr>
      <w:r>
        <w:rPr>
          <w:rStyle w:val="C22"/>
          <w:rtl w:val="0"/>
        </w:rPr>
        <w:t>Ústní ověření</w:t>
      </w:r>
    </w:p>
    <w:p>
      <w:pPr>
        <w:pStyle w:val="P32"/>
        <w:framePr w:w="10710" w:h="248" w:hRule="exact" w:wrap="none" w:vAnchor="page" w:hAnchor="margin" w:x="28" w:y="10084"/>
        <w:rPr>
          <w:rStyle w:val="C23"/>
          <w:rtl w:val="0"/>
        </w:rPr>
      </w:pPr>
      <w:r>
        <w:rPr>
          <w:rStyle w:val="C23"/>
          <w:rtl w:val="0"/>
        </w:rPr>
        <w:t>Je třeba splnit všechna kritéria.</w:t>
      </w:r>
    </w:p>
    <w:p>
      <w:pPr>
        <w:pStyle w:val="P23"/>
        <w:framePr w:w="10710" w:h="340" w:hRule="exact" w:wrap="none" w:vAnchor="page" w:hAnchor="margin" w:x="28" w:y="10520"/>
        <w:rPr>
          <w:rStyle w:val="C18"/>
          <w:rtl w:val="0"/>
        </w:rPr>
      </w:pPr>
      <w:r>
        <w:rPr>
          <w:rStyle w:val="C18"/>
          <w:rtl w:val="0"/>
        </w:rPr>
        <w:t>Vymezení náležitostí Řádu veřejného pohřebiště</w:t>
      </w:r>
    </w:p>
    <w:p>
      <w:pPr>
        <w:pStyle w:val="P24"/>
        <w:framePr w:w="6713" w:h="376" w:hRule="exact" w:wrap="none" w:vAnchor="page" w:hAnchor="margin" w:x="45" w:y="10959"/>
        <w:rPr>
          <w:rStyle w:val="C3"/>
          <w:rtl w:val="0"/>
        </w:rPr>
      </w:pPr>
    </w:p>
    <w:p>
      <w:pPr>
        <w:pStyle w:val="P25"/>
        <w:framePr w:w="6661" w:h="249" w:hRule="exact" w:wrap="none" w:vAnchor="page" w:hAnchor="margin" w:x="71" w:y="11030"/>
        <w:rPr>
          <w:rStyle w:val="C19"/>
          <w:rtl w:val="0"/>
        </w:rPr>
      </w:pPr>
      <w:r>
        <w:rPr>
          <w:rStyle w:val="C19"/>
          <w:rtl w:val="0"/>
        </w:rPr>
        <w:t>Kritéria hodnocení</w:t>
      </w:r>
    </w:p>
    <w:p>
      <w:pPr>
        <w:pStyle w:val="P26"/>
        <w:framePr w:w="3918" w:h="376" w:hRule="exact" w:wrap="none" w:vAnchor="page" w:hAnchor="margin" w:x="6803" w:y="10959"/>
        <w:rPr>
          <w:rStyle w:val="C3"/>
          <w:rtl w:val="0"/>
        </w:rPr>
      </w:pPr>
    </w:p>
    <w:p>
      <w:pPr>
        <w:pStyle w:val="P27"/>
        <w:framePr w:w="3836" w:h="249" w:hRule="exact" w:wrap="none" w:vAnchor="page" w:hAnchor="margin" w:x="6859" w:y="11030"/>
        <w:rPr>
          <w:rStyle w:val="C20"/>
          <w:rtl w:val="0"/>
        </w:rPr>
      </w:pPr>
      <w:r>
        <w:rPr>
          <w:rStyle w:val="C20"/>
          <w:rtl w:val="0"/>
        </w:rPr>
        <w:t>Způsoby ověření</w:t>
      </w:r>
    </w:p>
    <w:p>
      <w:pPr>
        <w:pStyle w:val="P12"/>
        <w:framePr w:w="6710" w:h="607" w:hRule="exact" w:wrap="none" w:vAnchor="page" w:hAnchor="margin" w:x="45" w:y="11335"/>
        <w:rPr>
          <w:rStyle w:val="C3"/>
          <w:rtl w:val="0"/>
        </w:rPr>
      </w:pPr>
    </w:p>
    <w:p>
      <w:pPr>
        <w:pStyle w:val="P13"/>
        <w:framePr w:w="6658" w:h="480" w:hRule="exact" w:wrap="none" w:vAnchor="page" w:hAnchor="margin" w:x="71" w:y="11391"/>
        <w:rPr>
          <w:rStyle w:val="C11"/>
          <w:rtl w:val="0"/>
        </w:rPr>
      </w:pPr>
      <w:r>
        <w:rPr>
          <w:rStyle w:val="C11"/>
          <w:rtl w:val="0"/>
        </w:rPr>
        <w:t>a) Vysvětlit základní náležitosti Řádu veřejného pohřebiště, způsob vyhlášení a místo jeho zveřejnění</w:t>
      </w:r>
    </w:p>
    <w:p>
      <w:pPr>
        <w:pStyle w:val="P28"/>
        <w:framePr w:w="3921" w:h="607" w:hRule="exact" w:wrap="none" w:vAnchor="page" w:hAnchor="margin" w:x="6800" w:y="11335"/>
        <w:rPr>
          <w:rStyle w:val="C3"/>
          <w:rtl w:val="0"/>
        </w:rPr>
      </w:pPr>
    </w:p>
    <w:p>
      <w:pPr>
        <w:pStyle w:val="P29"/>
        <w:framePr w:w="3839" w:h="480" w:hRule="exact" w:wrap="none" w:vAnchor="page" w:hAnchor="margin" w:x="6856" w:y="11391"/>
        <w:rPr>
          <w:rStyle w:val="C21"/>
          <w:rtl w:val="0"/>
        </w:rPr>
      </w:pPr>
      <w:r>
        <w:rPr>
          <w:rStyle w:val="C21"/>
          <w:rtl w:val="0"/>
        </w:rPr>
        <w:t>Ústní ověření</w:t>
      </w:r>
    </w:p>
    <w:p>
      <w:pPr>
        <w:pStyle w:val="P16"/>
        <w:framePr w:w="6710" w:h="376" w:hRule="exact" w:wrap="none" w:vAnchor="page" w:hAnchor="margin" w:x="45" w:y="11942"/>
        <w:rPr>
          <w:rStyle w:val="C3"/>
          <w:rtl w:val="0"/>
        </w:rPr>
      </w:pPr>
    </w:p>
    <w:p>
      <w:pPr>
        <w:pStyle w:val="P17"/>
        <w:framePr w:w="6658" w:h="249" w:hRule="exact" w:wrap="none" w:vAnchor="page" w:hAnchor="margin" w:x="71" w:y="11998"/>
        <w:rPr>
          <w:rStyle w:val="C13"/>
          <w:rtl w:val="0"/>
        </w:rPr>
      </w:pPr>
      <w:r>
        <w:rPr>
          <w:rStyle w:val="C13"/>
          <w:rtl w:val="0"/>
        </w:rPr>
        <w:t>b) Vytvořit komplexní návrh Řádu veřejného pohřebiště podle zadání</w:t>
      </w:r>
    </w:p>
    <w:p>
      <w:pPr>
        <w:pStyle w:val="P30"/>
        <w:framePr w:w="3921" w:h="376" w:hRule="exact" w:wrap="none" w:vAnchor="page" w:hAnchor="margin" w:x="6800" w:y="11942"/>
        <w:rPr>
          <w:rStyle w:val="C3"/>
          <w:rtl w:val="0"/>
        </w:rPr>
      </w:pPr>
    </w:p>
    <w:p>
      <w:pPr>
        <w:pStyle w:val="P31"/>
        <w:framePr w:w="3839" w:h="249" w:hRule="exact" w:wrap="none" w:vAnchor="page" w:hAnchor="margin" w:x="6856" w:y="11998"/>
        <w:rPr>
          <w:rStyle w:val="C22"/>
          <w:rtl w:val="0"/>
        </w:rPr>
      </w:pPr>
      <w:r>
        <w:rPr>
          <w:rStyle w:val="C22"/>
          <w:rtl w:val="0"/>
        </w:rPr>
        <w:t>Praktické předvedení</w:t>
      </w:r>
    </w:p>
    <w:p>
      <w:pPr>
        <w:pStyle w:val="P32"/>
        <w:framePr w:w="10710" w:h="248" w:hRule="exact" w:wrap="none" w:vAnchor="page" w:hAnchor="margin" w:x="28" w:y="124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Užívání hrobového místa na veřejném pohřebišti a přechod nájmu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pojem hrobové místo a popsat jeho jednotlivé druhy, včetně účelu 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Vymezit základní náležitosti smlouvy o nájmu hrobového místa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Vytvořit komplexní návrh smlouvy o nájmu hrobového místa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varianty přechodu nájmu hrobového místa a vlastnictví hrobového zařízení na dědice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 užívání hrobového místa a možné zásahy provozovatele do něj během doby trvání nájmu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Skončení nájmu hrobového místa a vyklizení od hrobového zařízení</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a) Vyjmenovat důvody skončení nájmu hrobového místa a povinnosti provozovatele před skončením dosavadní doby nájmu a uvést, za jakých podmínek lze žádost nájemce o obnovu smlouvy o nájmu odmítnout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Vysvětlit povinnosti nájemce při skončení nájmu</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Uvést možnosti nakládaní s hrobovým zařízením po skončení nájmu a základní podmínky pro označení věci jako opuštěné</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Vedení předepsané evidence veřejného pohřebiště</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Uvést základní právní normy pro shromažďování a zpracovávání osobních údajů pro evidenci pohřebiště</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Vyjmenovat povinné údaje uvedené v evidenci k jednotlivým hrobovým místům</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Uvést možné formy a rozsah vedení evidence související s provozováním veřejného pohřebiště a zdůvodnit výhody svázané knihy</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607" w:hRule="exact" w:wrap="none" w:vAnchor="page" w:hAnchor="margin" w:x="45" w:y="11907"/>
        <w:rPr>
          <w:rStyle w:val="C3"/>
          <w:rtl w:val="0"/>
        </w:rPr>
      </w:pPr>
    </w:p>
    <w:p>
      <w:pPr>
        <w:pStyle w:val="P17"/>
        <w:framePr w:w="6658" w:h="480" w:hRule="exact" w:wrap="none" w:vAnchor="page" w:hAnchor="margin" w:x="71" w:y="11963"/>
        <w:rPr>
          <w:rStyle w:val="C13"/>
          <w:rtl w:val="0"/>
        </w:rPr>
      </w:pPr>
      <w:r>
        <w:rPr>
          <w:rStyle w:val="C13"/>
          <w:rtl w:val="0"/>
        </w:rPr>
        <w:t>d) Orientovat se ve schematickém plánu pohřebiště ve vazbě na evidenci veřejného pohřebiště</w:t>
      </w:r>
    </w:p>
    <w:p>
      <w:pPr>
        <w:pStyle w:val="P30"/>
        <w:framePr w:w="3921" w:h="607" w:hRule="exact" w:wrap="none" w:vAnchor="page" w:hAnchor="margin" w:x="6800" w:y="11907"/>
        <w:rPr>
          <w:rStyle w:val="C3"/>
          <w:rtl w:val="0"/>
        </w:rPr>
      </w:pPr>
    </w:p>
    <w:p>
      <w:pPr>
        <w:pStyle w:val="P31"/>
        <w:framePr w:w="3839" w:h="480" w:hRule="exact" w:wrap="none" w:vAnchor="page" w:hAnchor="margin" w:x="6856" w:y="11963"/>
        <w:rPr>
          <w:rStyle w:val="C22"/>
          <w:rtl w:val="0"/>
        </w:rPr>
      </w:pPr>
      <w:r>
        <w:rPr>
          <w:rStyle w:val="C22"/>
          <w:rtl w:val="0"/>
        </w:rPr>
        <w:t>Praktické předvedení a ústní ověření</w:t>
      </w:r>
    </w:p>
    <w:p>
      <w:pPr>
        <w:pStyle w:val="P12"/>
        <w:framePr w:w="6710" w:h="607" w:hRule="exact" w:wrap="none" w:vAnchor="page" w:hAnchor="margin" w:x="45" w:y="12513"/>
        <w:rPr>
          <w:rStyle w:val="C3"/>
          <w:rtl w:val="0"/>
        </w:rPr>
      </w:pPr>
    </w:p>
    <w:p>
      <w:pPr>
        <w:pStyle w:val="P13"/>
        <w:framePr w:w="6658" w:h="480" w:hRule="exact" w:wrap="none" w:vAnchor="page" w:hAnchor="margin" w:x="71" w:y="12569"/>
        <w:rPr>
          <w:rStyle w:val="C11"/>
          <w:rtl w:val="0"/>
        </w:rPr>
      </w:pPr>
      <w:r>
        <w:rPr>
          <w:rStyle w:val="C11"/>
          <w:rtl w:val="0"/>
        </w:rPr>
        <w:t>e) Vyjmenovat kritéria pro výběr vhodné hřbitovní knihy a vhodného softwaru pro vedení evidence související s provozováním veřejného pohřebiště</w:t>
      </w:r>
    </w:p>
    <w:p>
      <w:pPr>
        <w:pStyle w:val="P28"/>
        <w:framePr w:w="3921" w:h="607" w:hRule="exact" w:wrap="none" w:vAnchor="page" w:hAnchor="margin" w:x="6800" w:y="12513"/>
        <w:rPr>
          <w:rStyle w:val="C3"/>
          <w:rtl w:val="0"/>
        </w:rPr>
      </w:pPr>
    </w:p>
    <w:p>
      <w:pPr>
        <w:pStyle w:val="P29"/>
        <w:framePr w:w="3839" w:h="480" w:hRule="exact" w:wrap="none" w:vAnchor="page" w:hAnchor="margin" w:x="6856" w:y="12569"/>
        <w:rPr>
          <w:rStyle w:val="C21"/>
          <w:rtl w:val="0"/>
        </w:rPr>
      </w:pPr>
      <w:r>
        <w:rPr>
          <w:rStyle w:val="C21"/>
          <w:rtl w:val="0"/>
        </w:rPr>
        <w:t>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f) Uvést účelné doby archivace písemností souvisejících s provozováním veřejného pohřebiště, včetně skartačních lhůt</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Oceňování nájmu hrobových míst a služeb na veřejném pohřebišti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právní normy pro oceňování zboží a služeb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předpisy, na jejichž základě musí provozovatel pohřebiště regulovat ceny nájmu hrobových míst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kdo obecně stanoví cenu, jak se vyhlašuje a eviduje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princip regulace cen, její druhy, kdo je stanoví a jak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rozsah regulace cen v pohřebnictví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Vytvořit nařízení obce o stanovení maximální ceny služeb spojených s nájmem hrobového místa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Vymezení náležitosti řádu veřejného pohřebiště, kritérium b); Užívání hrobového místa na veřejném pohřebišti a přechod nájmu, kritérium c) autorizovaná osoba připraví jedno zadání, na jehož základě uchazeč splní daná kritéria.</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veřejného pohřebiště.</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69-019-M Administrátor pohřebiště a alespoň 5 let odborné praxe v oblasti provozování veřejného pohřebiště.</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285"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tiskárnou a připojením na internet k ověření způsobilosti práce na PC, </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vedení evidence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•schematický plán hřbitova,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Řádu veřejného pohřebiště,</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•předlohu smlouvy o nájmu hrobového místa,</w:t>
      </w:r>
    </w:p>
    <w:p>
      <w:pPr>
        <w:keepNext w:val="0"/>
        <w:keepLines w:val="1"/>
        <w:framePr w:w="10766" w:h="3945"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•platné znění zákona č. 256/2001 Sb., o pohřebnictví a o změně některých zákonů v elektronické podobě nebo tištěné podobě, který je k dispozici uchazeči po celou dobu zkoušky. V případě tištěné podoby je potřeba, aby počet výtisků odpovídal počtu uchazečů o zkoušku.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806"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pohřebiště, 28.9.2026 13:48:52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CC22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AFE8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AE09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