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D0E65" Type="http://schemas.openxmlformats.org/officeDocument/2006/relationships/officeDocument" Target="/word/document.xml" /><Relationship Id="coreR266D0E65" Type="http://schemas.openxmlformats.org/package/2006/relationships/metadata/core-properties" Target="/docProps/core.xml" /><Relationship Id="customR266D0E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Definování veřejného pohřebiště, jeho zřízení a vymezení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Definování pohřbívání, exhumace a nakládání se zpopelněnými ostatky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Vymezení náležitosti Řádu veřejného pohřebiště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Užívání hrobového místa na veřejném pohřebišti a přechod nájmu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Skončení nájmu hrobového místa a vyklizení od hrobového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předepsané evidence veřejného pohřebiště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Oceňování nájmu hrobových míst a služeb na veřejném pohřebišti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29.06.2012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7.11.2026 17:45:21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7.11.2026 17:45:21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Václav Graf, OSVČ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pohřebnictví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7.11.2026 17:45:21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