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BE7383" Type="http://schemas.openxmlformats.org/officeDocument/2006/relationships/officeDocument" Target="/word/document.xml" /><Relationship Id="coreR38BE7383" Type="http://schemas.openxmlformats.org/package/2006/relationships/metadata/core-properties" Target="/docProps/core.xml" /><Relationship Id="customR38BE73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technik; Keramický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pro keramickou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keramickou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keramické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technologických zkoušek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keramické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Operativní řešení technologických problémů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30.06.2012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18.10.2026 18:15:28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Doporučujeme, aby uchazeč měl ukončené střední vzdělání s výučním listem nebo střední vzdělání s maturitní zkouškou.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Provádění technických zkoušek v keramické výrobě autorizovaná osoba zadá uchazeči dvě modelové situace a)uchazeč provede měření smrštění zadaného výrobku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provede stanovení křivky zrnitosti.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PC s nainstalovaným kancelářským SW Microsoft Office, obsahující textový editor WORD, tabulkový procesor Excel a Power Point a bude s jeho pomocí zpracovávat úkoly ověřující tyto kompetence: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keramiku, kritérium e)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keramickou výrobu, kritérium c)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technologických zkoušek v keramické výrobě, kritérium c).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Výsledky uchazeč zapíše do tabulkového procesoru a vyjádří je graficky.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18.10.2026 18:15:28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P-D Refractories CZ,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 ‒ znalecká a konzultační činnost v oboru stavební keramiky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18.10.2026 18:15:28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