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027146" Type="http://schemas.openxmlformats.org/officeDocument/2006/relationships/officeDocument" Target="/word/document.xml" /><Relationship Id="coreR36027146" Type="http://schemas.openxmlformats.org/package/2006/relationships/metadata/core-properties" Target="/docProps/core.xml" /><Relationship Id="customR360271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technolog; Keramický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30.06.2012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28.9.2026 13:48:36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uchazeč měl ukončené střední vzdělání s výučním listem nebo střední vzdělání s maturitní zkouškou.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Provádění technických zkoušek v keramické výrobě autorizovaná osoba zadá uchazeči dvě modelové situace a)uchazeč provede měření smrštění zadaného výrobku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provede stanovení křivky zrnitosti.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PC s nainstalovaným kancelářským SW Microsoft Office, obsahující textový editor WORD, tabulkový procesor Excel a Power Point a bude s jeho pomocí zpracovávat úkoly ověřující tyto kompetence: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keramiku, kritérium e)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keramickou výrobu, kritérium c)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zkoušek v keramické výrobě, kritérium c).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Výsledky uchazeč zapíše do tabulkového procesoru a vyjádří je graficky.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28.9.2026 13:48:36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P-D Refractories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‒ znalecká a konzultační činnost v oboru stavební keramiky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28.9.2026 13:48:36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