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CC4E28" Type="http://schemas.openxmlformats.org/officeDocument/2006/relationships/officeDocument" Target="/word/document.xml" /><Relationship Id="coreR49CC4E28" Type="http://schemas.openxmlformats.org/package/2006/relationships/metadata/core-properties" Target="/docProps/core.xml" /><Relationship Id="customR49CC4E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mistr (kód: 28-028-M)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technik; Keramický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keramické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keramické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plnění operativních plánů keramické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keramické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podkladů pro odměňování pracovníků v keramické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preventivních prohlídek a oprav strojů a zařízení pro keramickou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Koordinace průběhu a vazeb výrobních činností v keramické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keramické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technologického úseku keramické výroby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a motivování zaměstnanců v keramické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Určování optimálního využívání výrobních a pracovních kapacit na pracovištích keramické výroby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Sestavování operativních plánů keramické výroby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30.06.2012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mistr, 18.10.2026 18:15:48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http://katalog.nsp.cz/karta_p.aspx?id_jp=7340&amp;kod_sm1=35.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vybere typ/typy nebo druh/druhy výrobku z oblastí keramické výroby podle klasifikace CZ-NACE: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23.2 Výroba žáruvzdorných výrobků 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23.3 Výroba stavebních výrobků z jílovitých materiálů 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23.4 Výroba ostatních porcelánových a keramických výrobků 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předem písemně připraví modelové situace z provozu v návaznosti na ověřované kompetence. 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Doporučujeme, aby uchazeč měl ukončené střední vzdělání s výučním listem nebo střední vzdělání s maturitní zkouškou.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k dispozici PC s nainstalovaným kancelářským SW Microsoft Office, obsahující textový editor WORD, tabulkový procesor Excel a Power Point a bude s jeho pomocí zpracovávat úkoly ověřující tyto kompetence: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operativních plánů keramické výroby, kritérium 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mistr, 18.10.2026 18:15:48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P-D Refractories CZ,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LASSELSBERGER,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Karlovy Vary,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Justa-znalecká a konzultační činnost v oboru stavební keramiky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mistr, 18.10.2026 18:15:48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