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C47AD0" Type="http://schemas.openxmlformats.org/officeDocument/2006/relationships/officeDocument" Target="/word/document.xml" /><Relationship Id="coreR2EC47AD0" Type="http://schemas.openxmlformats.org/package/2006/relationships/metadata/core-properties" Target="/docProps/core.xml" /><Relationship Id="customR2EC47A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mistr (kód: 28-028-M)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technik; Keramický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plnění operativních plánů keramické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keramické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v keramické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preventivních prohlídek a oprav strojů a zařízení pro keramickou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Koordinace průběhu a vazeb výrobních činností v keramické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technologického úseku keramické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a motivování zaměstnanců v keramické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keramické výroby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Sestavování operativních plánů keramické výroby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30.06.2012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mistr, 7.11.2026 17:45:22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http://katalog.nsp.cz/karta_p.aspx?id_jp=7340&amp;kod_sm1=35.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vybere typ/typy nebo druh/druhy výrobku z oblastí keramické výroby podle klasifikace CZ-NACE: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23.2 Výroba žáruvzdorných výrobků 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23.3 Výroba stavebních výrobků z jílovitých materiálů 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23.4 Výroba ostatních porcelánových a keramických výrobků 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předem písemně připraví modelové situace z provozu v návaznosti na ověřované kompetence. 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Doporučujeme, aby uchazeč měl ukončené střední vzdělání s výučním listem nebo střední vzdělání s maturitní zkouškou.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k dispozici PC s nainstalovaným kancelářským SW Microsoft Office, obsahující textový editor WORD, tabulkový procesor Excel a Power Point a bude s jeho pomocí zpracovávat úkoly ověřující tyto kompetence: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operativních plánů keramické výroby, kritérium 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mistr, 7.11.2026 17:45:22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P-D Refractories CZ,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Justa-znalecká a konzultační činnost v oboru stavební keramiky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mistr, 7.11.2026 17:45:22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