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A30F6" Type="http://schemas.openxmlformats.org/officeDocument/2006/relationships/officeDocument" Target="/word/document.xml" /><Relationship Id="coreR706A30F6" Type="http://schemas.openxmlformats.org/package/2006/relationships/metadata/core-properties" Target="/docProps/core.xml" /><Relationship Id="customR706A30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technik; 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keramické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preventivních prohlídek a oprav strojů a zařízení pro keramickou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Koordinace průběhu a vazeb výrobních činností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technologického úseku keramické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a motivování zaměstnanců v keramické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keramické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Sestavování operativních plánů keramické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28.9.2026 13:48:51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http://katalog.nsp.cz/karta_p.aspx?id_jp=7340&amp;kod_sm1=35.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typ/typy nebo druh/druhy výrobku z oblastí keramické výroby podle klasifikace CZ-NACE: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23.2 Výroba žáruvzdorných výrobků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23.3 Výroba stavebních výrobků z jílovitých materiálů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23.4 Výroba ostatních porcelánových a keramických výrobků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předem písemně připraví modelové situace z provozu v návaznosti na ověřované kompetence.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uchazeč měl ukončené střední vzdělání s výučním listem nebo střední vzdělání s maturitní zkouškou.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s nainstalovaným kancelářským SW Microsoft Office, obsahující textový editor WORD, tabulkový procesor Excel a Power Point a bude s jeho pomocí zpracovávat úkoly ověřující tyto kompetence: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keramické výroby, kritérium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28.9.2026 13:48:51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P-D Refractories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Justa-znalecká a konzultační činnost v oboru stavební keramiky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28.9.2026 13:48:51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